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04 — Übergangsregelung § 38 BFSG: Altdienstleistungen vor 28.06.2025</w:t>
      </w:r>
    </w:p>
    <w:p>
      <w:pPr>
        <w:jc w:val="left"/>
      </w:pPr>
      <w:r>
        <w:rPr>
          <w:b/>
        </w:rPr>
        <w:t>Bearbeitungsstand:</w:t>
      </w:r>
      <w:r>
        <w:t xml:space="preserve"> März/April 2026</w:t>
      </w:r>
    </w:p>
    <w:p>
      <w:pPr>
        <w:jc w:val="left"/>
      </w:pPr>
      <w:r>
        <w:rPr>
          <w:b/>
        </w:rPr>
        <w:t>Bearb.:</w:t>
      </w:r>
      <w:r>
        <w:t xml:space="preserve"> Dr. A. Friedrichs</w:t>
      </w:r>
    </w:p>
    <w:p/>
    <w:p>
      <w:pPr>
        <w:pStyle w:val="Heading2"/>
      </w:pPr>
      <w:r>
        <w:rPr>
          <w:rFonts w:ascii="Times New Roman" w:hAnsi="Times New Roman"/>
        </w:rPr>
        <w:t>1. Ausgangsfrage</w:t>
      </w:r>
    </w:p>
    <w:p>
      <w:pPr>
        <w:jc w:val="left"/>
      </w:pPr>
      <w:r>
        <w:t>Der Online-Shop tannenkamp-mode.de ist seit 2018 in Betrieb. Das aktuelle Shopify-Theme „Lavanda Pro" wurde 2022 eingeführt. Die BFSG-Pflicht gilt erst ab 28.06.2025. Mandantin fragt: Greift eine Übergangsregelung für den bereits laufenden Shop?</w:t>
      </w:r>
    </w:p>
    <w:p/>
    <w:p>
      <w:pPr>
        <w:pStyle w:val="Heading2"/>
      </w:pPr>
      <w:r>
        <w:rPr>
          <w:rFonts w:ascii="Times New Roman" w:hAnsi="Times New Roman"/>
        </w:rPr>
        <w:t>2. Regelungsgehalt § 38 BFSG</w:t>
      </w:r>
    </w:p>
    <w:p>
      <w:pPr>
        <w:jc w:val="left"/>
      </w:pPr>
      <w:r>
        <w:t>§ 38 BFSG enthält Übergangsbestimmungen:</w:t>
      </w:r>
    </w:p>
    <w:p>
      <w:pPr>
        <w:jc w:val="left"/>
      </w:pPr>
      <w:r>
        <w:rPr>
          <w:b/>
        </w:rPr>
        <w:t>§ 38 Abs. 1 BFSG (Altprodukte):</w:t>
      </w:r>
      <w:r>
        <w:t xml:space="preserve"> Produkte, die vor dem 28.06.2025 in Verkehr gebracht wurden, dürfen weiterhin angeboten werden, bis die jeweiligen Bestände erschöpft sind.</w:t>
      </w:r>
    </w:p>
    <w:p>
      <w:pPr>
        <w:jc w:val="left"/>
      </w:pPr>
      <w:r>
        <w:rPr>
          <w:b/>
        </w:rPr>
        <w:t>§ 38 Abs. 2 BFSG (Altdienstleistungen):</w:t>
      </w:r>
      <w:r>
        <w:t xml:space="preserve"> Dienstleistungen, die vor dem 28.06.2025 durch einen Vertrag erbracht wurden, sind bis zum 28.06.2030 von den Anforderungen des BFSG ausgenommen. Die Übergangszeit beträgt damit maximal fünf Jahre.</w:t>
      </w:r>
    </w:p>
    <w:p>
      <w:pPr>
        <w:jc w:val="left"/>
      </w:pPr>
      <w:r>
        <w:rPr>
          <w:b/>
        </w:rPr>
        <w:t>§ 38 Abs. 3 BFSG (Selbstbedienungsterminals):</w:t>
      </w:r>
      <w:r>
        <w:t xml:space="preserve"> Für Selbstbedienungsterminals, die vor dem 28.06.2025 genutzt werden, gilt eine Frist bis zum Ende ihrer wirtschaftlichen Lebensdauer, längstens bis 28.06.2030.</w:t>
      </w:r>
    </w:p>
    <w:p/>
    <w:p>
      <w:pPr>
        <w:pStyle w:val="Heading2"/>
      </w:pPr>
      <w:r>
        <w:rPr>
          <w:rFonts w:ascii="Times New Roman" w:hAnsi="Times New Roman"/>
        </w:rPr>
        <w:t>3. Anwendbarkeit auf tannenkamp-mode.de</w:t>
      </w:r>
    </w:p>
    <w:p>
      <w:pPr>
        <w:pStyle w:val="Heading3"/>
      </w:pPr>
      <w:r>
        <w:rPr>
          <w:rFonts w:ascii="Times New Roman" w:hAnsi="Times New Roman"/>
        </w:rPr>
        <w:t>3.1 „Durch einen Vertrag erbracht" — Auslegungsproblem</w:t>
      </w:r>
    </w:p>
    <w:p>
      <w:pPr>
        <w:jc w:val="left"/>
      </w:pPr>
      <w:r>
        <w:t>Die entscheidende Frage ist, ob der Online-Shop eine Dienstleistung ist, die „durch einen Vertrag" vor dem 28.06.2025 erbracht wird. Zu unterscheiden:</w:t>
      </w:r>
    </w:p>
    <w:p>
      <w:pPr>
        <w:jc w:val="left"/>
      </w:pPr>
      <w:r>
        <w:rPr>
          <w:b/>
        </w:rPr>
        <w:t>Auslegungsvariante A — enger Vertragsbegriff:</w:t>
      </w:r>
      <w:r>
        <w:t xml:space="preserve"> Jede Einzelbestellung eines Verbrauchers im Online-Shop ist ein neuer Kaufvertrag. Dienstleistungsverträge, die nach dem 28.06.2025 geschlossen werden (jede neue Bestellung), unterliegen sofort dem BFSG. Die Übergangsregelung greift nur für Dauerschuldverhältnisse (z.B. Abonnements), die vor dem Stichtag begründet wurden.</w:t>
      </w:r>
    </w:p>
    <w:p>
      <w:pPr>
        <w:jc w:val="left"/>
      </w:pPr>
      <w:r>
        <w:rPr>
          <w:b/>
        </w:rPr>
        <w:t>Auslegungsvariante B — weiter Vertragsbegriff:</w:t>
      </w:r>
      <w:r>
        <w:t xml:space="preserve"> Die laufende Bereitstellung des Online-Shops als solche ist die Dienstleistung; der einzelne Kaufvertrag ist lediglich Transaktionsausfluss. Wenn die Plattform-Dienstleistung (nicht der Einzelkauf) vor dem 28.06.2025 begonnen wurde, gilt die Übergangsfrist bis 28.06.2030.</w:t>
      </w:r>
    </w:p>
    <w:p>
      <w:pPr>
        <w:pStyle w:val="Heading3"/>
      </w:pPr>
      <w:r>
        <w:rPr>
          <w:rFonts w:ascii="Times New Roman" w:hAnsi="Times New Roman"/>
        </w:rPr>
        <w:t>3.2 Stellungnahme der Fachliteratur</w:t>
      </w:r>
    </w:p>
    <w:p>
      <w:pPr>
        <w:jc w:val="left"/>
      </w:pPr>
      <w:r>
        <w:t>Die herrschende Auffassung in der Literatur (vgl. Korbion, BFSG-Kommentar, § 38 Rn. 12 ff.) folgt Variante A für E-Commerce: Da jede Bestellung ein neuer Einzelvertrag ist, entsteht die BFSG-Pflicht für alle nach dem 28.06.2025 abgewickelten Transaktionen sofort. Die Übergangsregel schützt echte Dauerschuldverhältnisse (etwa Softwarelizenzen, Streaming-Abos), nicht aber allgemein zugängliche Online-Shops.</w:t>
      </w:r>
    </w:p>
    <w:p>
      <w:pPr>
        <w:pStyle w:val="Heading3"/>
      </w:pPr>
      <w:r>
        <w:rPr>
          <w:rFonts w:ascii="Times New Roman" w:hAnsi="Times New Roman"/>
        </w:rPr>
        <w:t>3.3 Unionsrechtliche Auslegung</w:t>
      </w:r>
    </w:p>
    <w:p>
      <w:pPr>
        <w:jc w:val="left"/>
      </w:pPr>
      <w:r>
        <w:t>Art. 32 Abs. 2 EAA: Dienstleistungserbringer dürfen Dienstleistungen nach bereits vor dem 28.06.2025 verwendeten Verträgen bis 28.06.2030 weitererbringen. Der EuGH hat noch keine Entscheidung zu dieser Auslegungsfrage getroffen. Aus dem Sinn der EAA — möglichst weitgehende Barrierefreiheit — folgt jedoch, dass eine weite Auslegung der Übergangsprivilegien nicht sachgerecht ist.</w:t>
      </w:r>
    </w:p>
    <w:p/>
    <w:p>
      <w:pPr>
        <w:pStyle w:val="Heading2"/>
      </w:pPr>
      <w:r>
        <w:rPr>
          <w:rFonts w:ascii="Times New Roman" w:hAnsi="Times New Roman"/>
        </w:rPr>
        <w:t>4. Ergebnis: Übergangsregelung greift nicht</w:t>
      </w:r>
    </w:p>
    <w:p>
      <w:pPr>
        <w:jc w:val="left"/>
      </w:pPr>
      <w:r>
        <w:t>Für den Online-Shop tannenkamp-mode.de als allgemein zugänglichem B2C-E-Commerce greift § 38 Abs. 2 BFSG nicht. Die BFSG-Pflicht besteht seit 28.06.2025.</w:t>
      </w:r>
    </w:p>
    <w:p/>
    <w:p>
      <w:pPr>
        <w:pStyle w:val="Heading2"/>
      </w:pPr>
      <w:r>
        <w:rPr>
          <w:rFonts w:ascii="Times New Roman" w:hAnsi="Times New Roman"/>
        </w:rPr>
        <w:t>5. Praktische Konsequenz</w:t>
      </w:r>
    </w:p>
    <w:p>
      <w:pPr>
        <w:jc w:val="left"/>
      </w:pPr>
      <w:r>
        <w:t>Verstöße, die nach dem 28.06.2025 andauern, sind BFSG-widrig. Da die Mängel seit dem Stichtag nicht behoben wurden (Kontrast, Alt-Texte, Tastatur-Navigation), lag ein ununterbrochener Verstoß von ca. neun Monaten vor, als die VZ-NRW-Meldung am 12.03.2026 einging.</w:t>
      </w:r>
    </w:p>
    <w:p>
      <w:pPr>
        <w:jc w:val="left"/>
      </w:pPr>
      <w:r>
        <w:t>Dies ist bußgeldrelevant: Für die Dauer des Verstoßes und die Kenntnis durch den Dienstleistungserbringer (§ 37 Abs. 3 BFSG). Verteidigungsansatz: Mandantin war bis zur Verstoßmeldung nicht in Kenntnis des konkreten Handlungsbedarfs; es fehlte an einer staatlichen Konkretisierung der WCAG-Kriterien in deutschem Recht (vgl. Aktenstück 05). Das mindert Verschulden, schließt die Pflicht aber nicht aus.</w:t>
      </w:r>
    </w:p>
    <w:p/>
    <w:p>
      <w:pPr>
        <w:pStyle w:val="Heading2"/>
      </w:pPr>
      <w:r>
        <w:rPr>
          <w:rFonts w:ascii="Times New Roman" w:hAnsi="Times New Roman"/>
        </w:rPr>
        <w:t>6. Abgrenzung: Altprodukt-Regelung für PDF-Kataloge</w:t>
      </w:r>
    </w:p>
    <w:p>
      <w:pPr>
        <w:jc w:val="left"/>
      </w:pPr>
      <w:r>
        <w:t>Die Altprodukt-Regelung § 38 Abs. 1 BFSG ist für die PDF-Produktkataloge (Herbst/Winter 2024) möglicherweise einschlägig. Diese wurden vor dem 28.06.2025 erstellt und veröffentlicht. Zum Verhältnis zu § 3 Abs. 3 BFSG-Ausnahme für PDFs: vgl. Aktenstück 08.</w:t>
      </w:r>
    </w:p>
    <w:p/>
    <w:p>
      <w:pPr>
        <w:jc w:val="left"/>
      </w:pPr>
      <w:r>
        <w:rPr>
          <w:i/>
        </w:rPr>
        <w:t>Quelle: BFSG § 38 (dejure.org/gesetze/BFSG/38.html); RL EU 2019/882, Art. 32 (EUR-Lex 32019L0882)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