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— Standardkonflikt: BITV 2.0 vs. WCAG 2.1 AA vs. EN 301 549</w:t>
      </w:r>
    </w:p>
    <w:p>
      <w:pPr>
        <w:jc w:val="left"/>
      </w:pPr>
      <w:r>
        <w:rPr>
          <w:b/>
        </w:rPr>
        <w:t>Bearbeitungsstand:</w:t>
      </w:r>
      <w:r>
        <w:t xml:space="preserve"> April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Problemaufriss</w:t>
      </w:r>
    </w:p>
    <w:p>
      <w:pPr>
        <w:jc w:val="left"/>
      </w:pPr>
      <w:r>
        <w:t>Im Verfahren MüNI-BFSG-2026/0188 und im Schriftsatz VZ NRW beziehen sich Behörde und Klägerin auf unterschiedliche technische Standards. Die Behörde verweist auf BITV 2.0, die VZ NRW auf WCAG 2.1 AA. Der BFSG-Text selbst nennt EN 301 549. Welcher Standard ist rechtsverbindlich?</w:t>
      </w:r>
    </w:p>
    <w:p/>
    <w:p>
      <w:pPr>
        <w:pStyle w:val="Heading2"/>
      </w:pPr>
      <w:r>
        <w:rPr>
          <w:rFonts w:ascii="Times New Roman" w:hAnsi="Times New Roman"/>
        </w:rPr>
        <w:t>2. Rechtliche Normenhierarchie</w:t>
      </w:r>
    </w:p>
    <w:p>
      <w:pPr>
        <w:pStyle w:val="Heading3"/>
      </w:pPr>
      <w:r>
        <w:rPr>
          <w:rFonts w:ascii="Times New Roman" w:hAnsi="Times New Roman"/>
        </w:rPr>
        <w:t>2.1 BFSG und BFSG-DV</w:t>
      </w:r>
    </w:p>
    <w:p>
      <w:pPr>
        <w:jc w:val="left"/>
      </w:pPr>
      <w:r>
        <w:t>Das BFSG verweist in § 3 Abs. 1 S. 2 BFSG auf die harmonisierten Normen und die BFSG-Durchführungsverordnung (BFSG-DV) als Konkretisierungsebene. Die BFSG-DV enthält in § 2 BFSG-DV i.V.m. Anlage 1 die technischen Anforderungen für E-Commerce-Dienste.</w:t>
      </w:r>
    </w:p>
    <w:p>
      <w:pPr>
        <w:pStyle w:val="Heading3"/>
      </w:pPr>
      <w:r>
        <w:rPr>
          <w:rFonts w:ascii="Times New Roman" w:hAnsi="Times New Roman"/>
        </w:rPr>
        <w:t>2.2 Harmonisierte Norm EN 301 549</w:t>
      </w:r>
    </w:p>
    <w:p>
      <w:pPr>
        <w:jc w:val="left"/>
      </w:pPr>
      <w:r>
        <w:t>Die Europäische Kommission hat EN 301 549 v3.2.1 (2021) als harmonisierte Norm veröffentlicht. Wer die EN 301 549 erfüllt, genießt die sog. Konformitätsvermutung nach § 6 BFSG: Es wird unwiderleglich vermutet, dass die BFSG-Anforderungen erfüllt sind. EN 301 549 inkorporiert WCAG 2.1 AA in Abschnitt 9 für Web-Content vollständig. Die EN 301 549 ist damit der rechtsverbindliche Prüfmaßstab.</w:t>
      </w:r>
    </w:p>
    <w:p>
      <w:pPr>
        <w:pStyle w:val="Heading3"/>
      </w:pPr>
      <w:r>
        <w:rPr>
          <w:rFonts w:ascii="Times New Roman" w:hAnsi="Times New Roman"/>
        </w:rPr>
        <w:t>2.3 WCAG 2.1 AA</w:t>
      </w:r>
    </w:p>
    <w:p>
      <w:pPr>
        <w:jc w:val="left"/>
      </w:pPr>
      <w:r>
        <w:t>WCAG 2.1 (Web Content Accessibility Guidelines, W3C 2018) ist eine technische Leitlinie des W3C. Über die Inkorporation in EN 301 549 erhält WCAG 2.1 AA quasi-Gesetzeskraft im BFSG-Regime. Die vier Grundprinzipien — Wahrnehmbarkeit (Perceivable), Bedienbarkeit (Operable), Verständlichkeit (Understandable), Robustheit (Robust) — sind der inhaltliche Maßstab.</w:t>
      </w:r>
    </w:p>
    <w:p>
      <w:pPr>
        <w:pStyle w:val="Heading3"/>
      </w:pPr>
      <w:r>
        <w:rPr>
          <w:rFonts w:ascii="Times New Roman" w:hAnsi="Times New Roman"/>
        </w:rPr>
        <w:t>2.4 BITV 2.0</w:t>
      </w:r>
    </w:p>
    <w:p>
      <w:pPr>
        <w:jc w:val="left"/>
      </w:pPr>
      <w:r>
        <w:t>Die Barrierefreie-Informationstechnik-Verordnung 2.0 (BITV 2.0) gilt nur für Einrichtungen des öffentlichen Sektors (§ 12 BGG). Für private Wirtschaftsakteure wie Tannenkamp Mode-Versand GmbH ist BITV 2.0 nicht unmittelbar anwendbar. Die MüNI-Referenz auf BITV 2.0 in der Anhörung ist rechtlich ungenau. Dies ist in der Stellungnahme zu korrigieren: Maßstab ist allein EN 301 549 i.V.m. BFSG-DV Anlage 1.</w:t>
      </w:r>
    </w:p>
    <w:p/>
    <w:p>
      <w:pPr>
        <w:pStyle w:val="Heading2"/>
      </w:pPr>
      <w:r>
        <w:rPr>
          <w:rFonts w:ascii="Times New Roman" w:hAnsi="Times New Roman"/>
        </w:rPr>
        <w:t>3. Konsequenz für die Verteidigung</w:t>
      </w:r>
    </w:p>
    <w:p>
      <w:pPr>
        <w:jc w:val="left"/>
      </w:pPr>
      <w:r>
        <w:t>Die Feststellung, dass BITV 2.0 nicht der korrekte Maßstab ist, nützt der Mandantin prozessual: Sie kann rügen, dass die Behörde einen falschen Prüfmaßstab angelegt hat. Dies hat Auswirkungen auf:</w:t>
      </w:r>
    </w:p>
    <w:p>
      <w:pPr>
        <w:pStyle w:val="ListBullet"/>
      </w:pPr>
      <w:r>
        <w:t>Die Bestimmtheit des Bußgeldbescheids (Art. 103 Abs. 2 GG analog; § 17 OWiG)</w:t>
      </w:r>
    </w:p>
    <w:p>
      <w:pPr>
        <w:pStyle w:val="ListBullet"/>
      </w:pPr>
      <w:r>
        <w:t>Den Umfang der Untersagungsverfügung</w:t>
      </w:r>
    </w:p>
    <w:p>
      <w:pPr>
        <w:pStyle w:val="ListBullet"/>
      </w:pPr>
      <w:r>
        <w:t>Die Bindungswirkung des behördlichen Feststellungsbeschlusses im Verbandsklage-Verfahren</w:t>
      </w:r>
    </w:p>
    <w:p>
      <w:pPr>
        <w:jc w:val="left"/>
      </w:pPr>
      <w:r>
        <w:t>Inhaltlich sind die Verstöße jedoch nach allen drei Regelwerken identisch bemängelt. Die Kontrast-Anforderung (4,5:1 für Fließtext) findet sich in WCAG 2.1 SC 1.4.3, EN 301 549 Abschnitt 9.1.4.3 und BITV 2.0 Anforderung 1.4.3.</w:t>
      </w:r>
    </w:p>
    <w:p/>
    <w:p>
      <w:pPr>
        <w:pStyle w:val="Heading2"/>
      </w:pPr>
      <w:r>
        <w:rPr>
          <w:rFonts w:ascii="Times New Roman" w:hAnsi="Times New Roman"/>
        </w:rPr>
        <w:t>4. Konkrete Prüfmatrix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WCAG 2.1 SC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 301 549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Tannenkamp-Befund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1.1.1 Non-text Content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9.1.1.1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Alt-Texte bei ~2.300 Produktbildern fehlen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1.3.1 Info and Relationships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9.1.3.1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ARIA-Roles fehlerhaft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1.4.3 Contrast (Minimum)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9.1.4.3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Kontrast 2,8:1 statt 4,5:1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2.1.1 Keyboard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9.2.1.1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Tastatur-Navigation ohne sichtbaren Fokus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2.4.1 Bypass Blocks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9.2.4.1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Skip-Link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2.4.3 Focus Order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9.2.4.3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Tab-Reihenfolge inkonsistent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4.1.2 Name, Role, Value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9.4.1.2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&lt;div role="button"&gt;</w:t>
            </w:r>
            <w:r>
              <w:rPr>
                <w:rFonts w:ascii="Times New Roman" w:hAnsi="Times New Roman"/>
                <w:sz w:val="20"/>
              </w:rPr>
              <w:t xml:space="preserve"> ohne Handler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Bedeutung von WCAG 2.2 (Oktober 2023)</w:t>
      </w:r>
    </w:p>
    <w:p>
      <w:pPr>
        <w:jc w:val="left"/>
      </w:pPr>
      <w:r>
        <w:t>Seit Oktober 2023 ist WCAG 2.2 veröffentlicht. EN 301 549 ist noch auf WCAG 2.1 Basis; eine Aktualisierung ist angekündigt. Für das BFSG-Regime gilt derzeit noch WCAG 2.1 AA als maßgeblich. Empfehlung an Mandantin: Im Rahmen der Sanierung direkt auf WCAG 2.2 AA heben, um Zukunftssicherheit zu gewährleisten.</w:t>
      </w:r>
    </w:p>
    <w:p/>
    <w:p>
      <w:pPr>
        <w:jc w:val="left"/>
      </w:pPr>
      <w:r>
        <w:rPr>
          <w:i/>
        </w:rPr>
        <w:t>Quelle: BFSG § 3, § 6 (dejure.org/gesetze/BFSG); EN 301 549 v3.2.1 (ETSI-Standard, online); RL EU 2019/882 Art. 15 Abs. 3 (EUR-Lex 32019L0882)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