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08 — PDF-Produktkataloge: § 3 Abs. 3 BFSG und Altprodukt-Ausnahme</w:t>
      </w:r>
    </w:p>
    <w:p>
      <w:pPr>
        <w:jc w:val="left"/>
      </w:pPr>
      <w:r>
        <w:rPr>
          <w:b/>
        </w:rPr>
        <w:t>Bearbeitungsstand:</w:t>
      </w:r>
      <w:r>
        <w:t xml:space="preserve"> April 2026</w:t>
      </w:r>
    </w:p>
    <w:p>
      <w:pPr>
        <w:jc w:val="left"/>
      </w:pPr>
      <w:r>
        <w:rPr>
          <w:b/>
        </w:rPr>
        <w:t>Bearb.:</w:t>
      </w:r>
      <w:r>
        <w:t xml:space="preserve"> Dr. A. Friedrichs</w:t>
      </w:r>
    </w:p>
    <w:p/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jc w:val="left"/>
      </w:pPr>
      <w:r>
        <w:t>Tannenkamp Mode-Versand publiziert jährlich Produktkataloge als PDF-Dateien, die auf der Website zum Download angeboten werden: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Katalog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Erstellungsdatum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Online seit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Format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Herbst/Winter 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August 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01.09.2024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 (28 Seiten, Scan + Layout)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Frühjahr/Sommer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Februar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01.03.2025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 (32 Seiten, InDesign-Export)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Herbst/Winter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August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01.09.2025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 (30 Seiten, InDesign-Export)</w:t>
            </w:r>
          </w:p>
        </w:tc>
      </w:tr>
    </w:tbl>
    <w:p>
      <w:pPr>
        <w:jc w:val="left"/>
      </w:pPr>
      <w:r>
        <w:t>Keiner der Kataloge ist nach PDF/UA-1 (ISO 14289-1) taggt. Alt-Texte für Bilder, Lesezeichen und logische Lesereihenfolge fehlen. Screenreader können die PDFs nicht sinnvoll auslesen.</w:t>
      </w:r>
    </w:p>
    <w:p/>
    <w:p>
      <w:pPr>
        <w:pStyle w:val="Heading2"/>
      </w:pPr>
      <w:r>
        <w:rPr>
          <w:rFonts w:ascii="Times New Roman" w:hAnsi="Times New Roman"/>
        </w:rPr>
        <w:t>2. Regelungslage</w:t>
      </w:r>
    </w:p>
    <w:p>
      <w:pPr>
        <w:pStyle w:val="Heading3"/>
      </w:pPr>
      <w:r>
        <w:rPr>
          <w:rFonts w:ascii="Times New Roman" w:hAnsi="Times New Roman"/>
        </w:rPr>
        <w:t>2.1 Inhalt der PDFs als Produkt vs. Trägermedium-Dienstleistung</w:t>
      </w:r>
    </w:p>
    <w:p>
      <w:pPr>
        <w:jc w:val="left"/>
      </w:pPr>
      <w:r>
        <w:t>PDFs auf einer E-Commerce-Website sind in der BFSG-Systematik ambivalent: Sie können als „voraufgezeichnete zeitbasierte Medien" (WCAG 2.1 Abschnitt 1.2) eingeordnet werden, unterliegen jedoch primär der Anforderung an „Dokumente", die als Teil einer Dienstleistung bereitgestellt werden.</w:t>
      </w:r>
    </w:p>
    <w:p>
      <w:pPr>
        <w:pStyle w:val="Heading3"/>
      </w:pPr>
      <w:r>
        <w:rPr>
          <w:rFonts w:ascii="Times New Roman" w:hAnsi="Times New Roman"/>
        </w:rPr>
        <w:t>2.2 § 3 Abs. 3 BFSG — Ausnahme für bestimmte Inhalte</w:t>
      </w:r>
    </w:p>
    <w:p>
      <w:pPr>
        <w:jc w:val="left"/>
      </w:pPr>
      <w:r>
        <w:t>§ 3 Abs. 3 BFSG i.V.m. Anlage 1 Abschnitt III Nr. 5 BFSG-DV enthält eine Ausnahme: Voraufgezeichnete zeitbasierte Medien und Dokumente, die vor dem 28.06.2025 veröffentlicht wurden, sind von den Barrierefreiheitsanforderungen ausgenommen.</w:t>
      </w:r>
    </w:p>
    <w:p>
      <w:pPr>
        <w:jc w:val="left"/>
      </w:pPr>
      <w:r>
        <w:rPr>
          <w:b/>
        </w:rPr>
        <w:t>Wortlaut (§ 3 Abs. 3 BFSG sinngemäß):</w:t>
      </w:r>
      <w:r>
        <w:t xml:space="preserve"> Office-Formate und PDFs, die vor Inkrafttreten nicht archiviert, nicht wesentlicher Bestandteil einer aktiven Dienstleistung und ausschließlich als Informationsarchiv bestimmt sind, können ausgenommen werden.</w:t>
      </w:r>
    </w:p>
    <w:p>
      <w:pPr>
        <w:pStyle w:val="Heading3"/>
      </w:pPr>
      <w:r>
        <w:rPr>
          <w:rFonts w:ascii="Times New Roman" w:hAnsi="Times New Roman"/>
        </w:rPr>
        <w:t>2.3 Ausnahme nur unter engen Voraussetzungen</w:t>
      </w:r>
    </w:p>
    <w:p>
      <w:pPr>
        <w:jc w:val="left"/>
      </w:pPr>
      <w:r>
        <w:t>Die Ausnahme greift nur, wenn kumulativ:</w:t>
      </w:r>
    </w:p>
    <w:p>
      <w:pPr>
        <w:pStyle w:val="ListNumber"/>
      </w:pPr>
      <w:r>
        <w:t>Das Dokument wurde vor dem 28.06.2025 erstellt und veröffentlicht,</w:t>
      </w:r>
    </w:p>
    <w:p>
      <w:pPr>
        <w:pStyle w:val="ListNumber"/>
      </w:pPr>
      <w:r>
        <w:t>Es hat ausschließlich Archivfunktion (keine aktive Nutzung im laufenden Kaufprozess),</w:t>
      </w:r>
    </w:p>
    <w:p>
      <w:pPr>
        <w:pStyle w:val="ListNumber"/>
      </w:pPr>
      <w:r>
        <w:t>Der Inhalt wird nicht aktualisiert.</w:t>
      </w:r>
    </w:p>
    <w:p/>
    <w:p>
      <w:pPr>
        <w:pStyle w:val="Heading2"/>
      </w:pPr>
      <w:r>
        <w:rPr>
          <w:rFonts w:ascii="Times New Roman" w:hAnsi="Times New Roman"/>
        </w:rPr>
        <w:t>3. Einzelprüfung der Kataloge</w:t>
      </w:r>
    </w:p>
    <w:p>
      <w:pPr>
        <w:pStyle w:val="Heading3"/>
      </w:pPr>
      <w:r>
        <w:rPr>
          <w:rFonts w:ascii="Times New Roman" w:hAnsi="Times New Roman"/>
        </w:rPr>
        <w:t>3.1 Herbst/Winter 2024 (erstellt August 2024, online seit 01.09.2024)</w:t>
      </w:r>
    </w:p>
    <w:p>
      <w:pPr>
        <w:jc w:val="left"/>
      </w:pPr>
      <w:r>
        <w:t>Erstellungsdatum und Veröffentlichung liegen vor dem 28.06.2025. Der Katalog ist weiterhin auf der Website verlinkend aktiv als Download. Frage: Ist er „aktiver Bestandteil" der Dienstleistung?</w:t>
      </w:r>
    </w:p>
    <w:p>
      <w:pPr>
        <w:jc w:val="left"/>
      </w:pPr>
      <w:r>
        <w:rPr>
          <w:b/>
        </w:rPr>
        <w:t>Argument pro Ausnahme:</w:t>
      </w:r>
      <w:r>
        <w:t xml:space="preserve"> Der Katalog dient nur als Inspiration/Übersicht; der Kauf erfolgt im Shop selbst. Er ist nicht Teil des Kaufprozesses.</w:t>
      </w:r>
    </w:p>
    <w:p>
      <w:pPr>
        <w:jc w:val="left"/>
      </w:pPr>
      <w:r>
        <w:rPr>
          <w:b/>
        </w:rPr>
        <w:t>Argument contra Ausnahme:</w:t>
      </w:r>
      <w:r>
        <w:t xml:space="preserve"> Der Katalog enthält direkte Artikelnummern und wird als Conversion-Tool eingesetzt (Verweis auf spezifische Produktseiten). Er ist funktionaler Bestandteil der E-Commerce-Dienstleistung.</w:t>
      </w:r>
    </w:p>
    <w:p>
      <w:pPr>
        <w:jc w:val="left"/>
      </w:pPr>
      <w:r>
        <w:t>Rechtliche Bewertung: Die Ausnahme ist vertretbar, aber nicht sicher. Im Zweifel ist eine Behinderung des Kaufprozesses anzunehmen, wenn der Katalog aktive Links enthält. MüNI und VZ NRW werden dies bestreiten.</w:t>
      </w:r>
    </w:p>
    <w:p>
      <w:pPr>
        <w:pStyle w:val="Heading3"/>
      </w:pPr>
      <w:r>
        <w:rPr>
          <w:rFonts w:ascii="Times New Roman" w:hAnsi="Times New Roman"/>
        </w:rPr>
        <w:t>3.2 Frühjahr/Sommer 2025 (erstellt Februar 2025, online seit 01.03.2025)</w:t>
      </w:r>
    </w:p>
    <w:p>
      <w:pPr>
        <w:jc w:val="left"/>
      </w:pPr>
      <w:r>
        <w:t>Gleiches Bild wie H/W 2024. Beide Kataloge könnten die Ausnahme in Anspruch nehmen, jedoch mit Risiko.</w:t>
      </w:r>
    </w:p>
    <w:p>
      <w:pPr>
        <w:pStyle w:val="Heading3"/>
      </w:pPr>
      <w:r>
        <w:rPr>
          <w:rFonts w:ascii="Times New Roman" w:hAnsi="Times New Roman"/>
        </w:rPr>
        <w:t>3.3 Herbst/Winter 2025 (erstellt August 2025, online seit 01.09.2025)</w:t>
      </w:r>
    </w:p>
    <w:p>
      <w:pPr>
        <w:jc w:val="left"/>
      </w:pPr>
      <w:r>
        <w:t>Erstellungsdatum nach dem 28.06.2025. Die Ausnahme greift nicht. Dieser Katalog muss PDF/UA-konform gestaltet werden.</w:t>
      </w:r>
    </w:p>
    <w:p/>
    <w:p>
      <w:pPr>
        <w:pStyle w:val="Heading2"/>
      </w:pPr>
      <w:r>
        <w:rPr>
          <w:rFonts w:ascii="Times New Roman" w:hAnsi="Times New Roman"/>
        </w:rPr>
        <w:t>4. Strategische Empfehlung</w:t>
      </w:r>
    </w:p>
    <w:p>
      <w:pPr>
        <w:jc w:val="left"/>
      </w:pPr>
      <w:r>
        <w:rPr>
          <w:b/>
        </w:rPr>
        <w:t>Kurzfristig:</w:t>
      </w:r>
      <w:r>
        <w:t xml:space="preserve"> HW 2024 und FS 2025 offline nehmen oder durch barrierefreie Version ersetzen. Hierdurch entfällt das Risiko streitiger Ausnahme-Argumentation.</w:t>
      </w:r>
    </w:p>
    <w:p>
      <w:pPr>
        <w:jc w:val="left"/>
      </w:pPr>
      <w:r>
        <w:rPr>
          <w:b/>
        </w:rPr>
        <w:t>Mittelfristig:</w:t>
      </w:r>
      <w:r>
        <w:t xml:space="preserve"> Katalog-Erstellungsprozess auf barrierefreies PDF umstellen. InDesign kann PDF/UA-konforme Exporte erzeugen (Tagging, Alt-Texte, Lesezeichen). Aufwand für HW 2025: ca. 8–12 Stunden externe Dienstleisterarbeit.</w:t>
      </w:r>
    </w:p>
    <w:p>
      <w:pPr>
        <w:jc w:val="left"/>
      </w:pPr>
      <w:r>
        <w:rPr>
          <w:b/>
        </w:rPr>
        <w:t>Für die Stellungnahme an MüNI:</w:t>
      </w:r>
      <w:r>
        <w:t xml:space="preserve"> Ausnahme für HW 2024 und FS 2025 geltend machen; HW 2025 als bereits in Sanierung befindlich darstellen.</w:t>
      </w:r>
    </w:p>
    <w:p/>
    <w:p>
      <w:pPr>
        <w:pStyle w:val="Heading2"/>
      </w:pPr>
      <w:r>
        <w:rPr>
          <w:rFonts w:ascii="Times New Roman" w:hAnsi="Times New Roman"/>
        </w:rPr>
        <w:t>5. Sonderproblem: PDF/UA-Standard</w:t>
      </w:r>
    </w:p>
    <w:p>
      <w:pPr>
        <w:jc w:val="left"/>
      </w:pPr>
      <w:r>
        <w:t>PDF/UA-1 (ISO 14289-1, 2012) ist der technische Standard für barrierefreie PDFs. Er entspricht WCAG 2.1 auf Dokumentebene. Anforderungen: getaggtes PDF, Alt-Texte für alle Bilder, logische Dokumentstruktur, Lesezeichen, Metadaten (Titel, Sprache). Matterhorn Protocol (PDF Association) dient als Prüfleitfaden.</w:t>
      </w:r>
    </w:p>
    <w:p/>
    <w:p>
      <w:pPr>
        <w:jc w:val="left"/>
      </w:pPr>
      <w:r>
        <w:rPr>
          <w:i/>
        </w:rPr>
        <w:t>Quelle: BFSG § 3 Abs. 3, Anlage 1 BFSG-DV (dejure.org/gesetze/BFSG); RL EU 2019/882 Anhang I (EUR-Lex 32019L0882); ISO 14289-1 (PDF/UA)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