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09 — Verfahren MüNI: Marktüberwachung Az. MüNI-BFSG-2026/0188</w:t>
      </w:r>
    </w:p>
    <w:p>
      <w:pPr>
        <w:jc w:val="left"/>
      </w:pPr>
      <w:r>
        <w:rPr>
          <w:b/>
        </w:rPr>
        <w:t>Bearbeitungsstand:</w:t>
      </w:r>
      <w:r>
        <w:t xml:space="preserve"> Mai 2026</w:t>
      </w:r>
    </w:p>
    <w:p>
      <w:pPr>
        <w:jc w:val="left"/>
      </w:pPr>
      <w:r>
        <w:rPr>
          <w:b/>
        </w:rPr>
        <w:t>Bearb.:</w:t>
      </w:r>
      <w:r>
        <w:t xml:space="preserve"> Dr. A. Friedrichs</w:t>
      </w:r>
    </w:p>
    <w:p/>
    <w:p>
      <w:pPr>
        <w:pStyle w:val="Heading2"/>
      </w:pPr>
      <w:r>
        <w:rPr>
          <w:rFonts w:ascii="Times New Roman" w:hAnsi="Times New Roman"/>
        </w:rPr>
        <w:t>1. Rechtlicher Rahmen: Marktüberwachung nach BFSG</w:t>
      </w:r>
    </w:p>
    <w:p>
      <w:pPr>
        <w:jc w:val="left"/>
      </w:pPr>
      <w:r>
        <w:t>Die Marktüberwachung für private Dienstleistungserbringer ist in §§ 29–36 BFSG geregelt. Zuständig sind die Marktüberwachungsbehörden der Länder. In Niedersachsen ist dies das Landesamt für Verbraucherschutz und Lebensmittelsicherheit (LAVES), Dezernat für Produktsicherheit und Barrierefreiheit — im Verfahren intern als „MüNI" bezeichnet.</w:t>
      </w:r>
    </w:p>
    <w:p>
      <w:pPr>
        <w:jc w:val="left"/>
      </w:pPr>
      <w:r>
        <w:t>Die Behörde erhält Meldungen nach § 33 BFSG von Verbänden, Verbrauchern oder anderen Marktüberwachungsbehörden. Sie ist verpflichtet, diesen nachzugehen (§ 30 Abs. 2 BFSG).</w:t>
      </w:r>
    </w:p>
    <w:p/>
    <w:p>
      <w:pPr>
        <w:pStyle w:val="Heading2"/>
      </w:pPr>
      <w:r>
        <w:rPr>
          <w:rFonts w:ascii="Times New Roman" w:hAnsi="Times New Roman"/>
        </w:rPr>
        <w:t>2. Verfahrensablauf</w:t>
      </w:r>
    </w:p>
    <w:p>
      <w:pPr>
        <w:pStyle w:val="Heading3"/>
      </w:pPr>
      <w:r>
        <w:rPr>
          <w:rFonts w:ascii="Times New Roman" w:hAnsi="Times New Roman"/>
        </w:rPr>
        <w:t>2.1 Einleitung (15.03.2026)</w:t>
      </w:r>
    </w:p>
    <w:p>
      <w:pPr>
        <w:jc w:val="left"/>
      </w:pPr>
      <w:r>
        <w:t>MüNI hat am 15.03.2026 ein Verfahren gegen Tannenkamp Mode-Versand GmbH eingeleitet, nachdem die Verstoßmeldung der VZ NRW vom 12.03.2026 zugegangen war. Az. MüNI-BFSG-2026/0188.</w:t>
      </w:r>
    </w:p>
    <w:p>
      <w:pPr>
        <w:pStyle w:val="Heading3"/>
      </w:pPr>
      <w:r>
        <w:rPr>
          <w:rFonts w:ascii="Times New Roman" w:hAnsi="Times New Roman"/>
        </w:rPr>
        <w:t>2.2 Anhörung (22.03.2026)</w:t>
      </w:r>
    </w:p>
    <w:p>
      <w:pPr>
        <w:jc w:val="left"/>
      </w:pPr>
      <w:r>
        <w:t>Anhörungsschreiben nach § 34 BFSG i.V.m. § 28 VwVfG zugestellt am 22.03.2026. Inhalt: Darlegung der festgestellten Mängel (Kontrast, Alt-Texte, Tastatur-Navigation, ARIA, Skip-Link, PDFs), Aufforderung zur Stellungnahme binnen zwei Wochen (verlängert auf Antrag auf 06.04.2026).</w:t>
      </w:r>
    </w:p>
    <w:p>
      <w:pPr>
        <w:pStyle w:val="Heading3"/>
      </w:pPr>
      <w:r>
        <w:rPr>
          <w:rFonts w:ascii="Times New Roman" w:hAnsi="Times New Roman"/>
        </w:rPr>
        <w:t>2.3 Stellungnahme Kanzlei (05.04.2026)</w:t>
      </w:r>
    </w:p>
    <w:p>
      <w:pPr>
        <w:jc w:val="left"/>
      </w:pPr>
      <w:r>
        <w:t>Stellungnahme Dr. Friedrichs per Einschreiben und per beA. Inhalte:</w:t>
      </w:r>
    </w:p>
    <w:p>
      <w:pPr>
        <w:pStyle w:val="ListBullet"/>
      </w:pPr>
      <w:r>
        <w:t>Bestreitung des korrekten Prüfmaßstabs (BITV 2.0 statt EN 301 549)</w:t>
      </w:r>
    </w:p>
    <w:p>
      <w:pPr>
        <w:pStyle w:val="ListBullet"/>
      </w:pPr>
      <w:r>
        <w:t>Geltendmachung der Altprodukt-Ausnahme für zwei PDF-Kataloge</w:t>
      </w:r>
    </w:p>
    <w:p>
      <w:pPr>
        <w:pStyle w:val="ListBullet"/>
      </w:pPr>
      <w:r>
        <w:t>Vorlage des WCAG-Auditberichts AccessCheck GmbH</w:t>
      </w:r>
    </w:p>
    <w:p>
      <w:pPr>
        <w:pStyle w:val="ListBullet"/>
      </w:pPr>
      <w:r>
        <w:t>Ankündigung einer Sanierungsroadmap bis 30.06.2026</w:t>
      </w:r>
    </w:p>
    <w:p>
      <w:pPr>
        <w:pStyle w:val="Heading3"/>
      </w:pPr>
      <w:r>
        <w:rPr>
          <w:rFonts w:ascii="Times New Roman" w:hAnsi="Times New Roman"/>
        </w:rPr>
        <w:t>2.4 Ergänzende Stellungnahme (02.05.2026)</w:t>
      </w:r>
    </w:p>
    <w:p>
      <w:pPr>
        <w:jc w:val="left"/>
      </w:pPr>
      <w:r>
        <w:t>Auf Nachfrage der MüNI: Vorlage des vollständigen Audit-Berichts (nicht nur Executive Summary) und der detaillierten Remediation-Roadmap (vgl. Aktenstück 16).</w:t>
      </w:r>
    </w:p>
    <w:p/>
    <w:p>
      <w:pPr>
        <w:pStyle w:val="Heading2"/>
      </w:pPr>
      <w:r>
        <w:rPr>
          <w:rFonts w:ascii="Times New Roman" w:hAnsi="Times New Roman"/>
        </w:rPr>
        <w:t>3. Mögliche Sanktionen</w:t>
      </w:r>
    </w:p>
    <w:p>
      <w:pPr>
        <w:pStyle w:val="Heading3"/>
      </w:pPr>
      <w:r>
        <w:rPr>
          <w:rFonts w:ascii="Times New Roman" w:hAnsi="Times New Roman"/>
        </w:rPr>
        <w:t>3.1 Bußgeld (§ 37 BFSG)</w:t>
      </w:r>
    </w:p>
    <w:p>
      <w:pPr>
        <w:jc w:val="left"/>
      </w:pPr>
      <w:r>
        <w:t>§ 37 Abs. 1 BFSG: Ordnungswidrigkeit begeht, wer vorsätzlich oder fahrlässig die Barrierefreiheitsanforderungen nach § 14 BFSG nicht einhält. Geldbuße bis zu 100.000 EUR.</w:t>
      </w:r>
    </w:p>
    <w:p>
      <w:pPr>
        <w:jc w:val="left"/>
      </w:pPr>
      <w:r>
        <w:t>Für die Bußgeldbemessung sind gemäß § 17 OWiG relevant:</w:t>
      </w:r>
    </w:p>
    <w:p>
      <w:pPr>
        <w:pStyle w:val="ListBullet"/>
      </w:pPr>
      <w:r>
        <w:t>Schwere und Dauer des Verstoßes</w:t>
      </w:r>
    </w:p>
    <w:p>
      <w:pPr>
        <w:pStyle w:val="ListBullet"/>
      </w:pPr>
      <w:r>
        <w:t>Verschulden</w:t>
      </w:r>
    </w:p>
    <w:p>
      <w:pPr>
        <w:pStyle w:val="ListBullet"/>
      </w:pPr>
      <w:r>
        <w:t>Wirtschaftliche Verhältnisse des Täters</w:t>
      </w:r>
    </w:p>
    <w:p>
      <w:pPr>
        <w:pStyle w:val="ListBullet"/>
      </w:pPr>
      <w:r>
        <w:t>Vorteil aus der Ordnungswidrigkeit</w:t>
      </w:r>
    </w:p>
    <w:p>
      <w:pPr>
        <w:jc w:val="left"/>
      </w:pPr>
      <w:r>
        <w:t>§ 37 Abs. 2 BFSG: Fahrlässige Begehung ist ausreichend.</w:t>
      </w:r>
    </w:p>
    <w:p>
      <w:pPr>
        <w:pStyle w:val="Heading3"/>
      </w:pPr>
      <w:r>
        <w:rPr>
          <w:rFonts w:ascii="Times New Roman" w:hAnsi="Times New Roman"/>
        </w:rPr>
        <w:t>3.2 Untersagungsverfügung (§ 35 BFSG)</w:t>
      </w:r>
    </w:p>
    <w:p>
      <w:pPr>
        <w:jc w:val="left"/>
      </w:pPr>
      <w:r>
        <w:t>MüNI kann den weiteren Betrieb des nicht-konformen Online-Shops untersagen (§ 35 Abs. 1 BFSG). Dies ist eine einschneidende Maßnahme. Bei einem Umsatz von 18 Mio. EUR wäre ein Vollständiger Betriebsstopp wirtschaftlich katastrophal. Die Behörde wird erfahrungsgemäß verhältnismäßige Zwischenschritte wählen (Fristsetzung, Abhilfeverfügung).</w:t>
      </w:r>
    </w:p>
    <w:p>
      <w:pPr>
        <w:pStyle w:val="Heading3"/>
      </w:pPr>
      <w:r>
        <w:rPr>
          <w:rFonts w:ascii="Times New Roman" w:hAnsi="Times New Roman"/>
        </w:rPr>
        <w:t>3.3 Abhilfeverfügung (§ 34 BFSG)</w:t>
      </w:r>
    </w:p>
    <w:p>
      <w:pPr>
        <w:jc w:val="left"/>
      </w:pPr>
      <w:r>
        <w:t>Wahrscheinlichste Sanktionsform: MüNI erteilt eine Verfügung, konkrete Mängel bis zu einem bestimmten Datum zu beheben, verbunden mit Zwangsgeld-Androhung bei Nichterfüllung.</w:t>
      </w:r>
    </w:p>
    <w:p/>
    <w:p>
      <w:pPr>
        <w:pStyle w:val="Heading2"/>
      </w:pPr>
      <w:r>
        <w:rPr>
          <w:rFonts w:ascii="Times New Roman" w:hAnsi="Times New Roman"/>
        </w:rPr>
        <w:t>4. Verteidigungsargumente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Argument</w:t>
            </w:r>
          </w:p>
        </w:tc>
        <w:tc>
          <w:tcPr>
            <w:tcW w:type="dxa" w:w="3024"/>
          </w:tcPr>
          <w:p>
            <w:r>
              <w:rPr>
                <w:rFonts w:ascii="Times New Roman" w:hAnsi="Times New Roman"/>
                <w:b/>
                <w:sz w:val="20"/>
              </w:rPr>
              <w:t>Grundlage</w:t>
            </w:r>
          </w:p>
        </w:tc>
        <w:tc>
          <w:tcPr>
            <w:tcW w:type="dxa" w:w="3024"/>
          </w:tcPr>
          <w:p>
            <w:r>
              <w:rPr>
                <w:rFonts w:ascii="Times New Roman" w:hAnsi="Times New Roman"/>
                <w:b/>
                <w:sz w:val="20"/>
              </w:rPr>
              <w:t>Stärke</w:t>
            </w:r>
          </w:p>
        </w:tc>
      </w:tr>
      <w:tr>
        <w:tc>
          <w:tcPr>
            <w:tcW w:type="dxa" w:w="3024"/>
          </w:tcPr>
          <w:p>
            <w:r>
              <w:rPr>
                <w:rFonts w:ascii="Times New Roman" w:hAnsi="Times New Roman"/>
                <w:sz w:val="20"/>
              </w:rPr>
              <w:t>Prüfmaßstab BITV 2.0 unzutreffend</w:t>
            </w:r>
          </w:p>
        </w:tc>
        <w:tc>
          <w:tcPr>
            <w:tcW w:type="dxa" w:w="3024"/>
          </w:tcPr>
          <w:p>
            <w:r>
              <w:rPr>
                <w:rFonts w:ascii="Times New Roman" w:hAnsi="Times New Roman"/>
                <w:sz w:val="20"/>
              </w:rPr>
              <w:t>§ 6 BFSG, EN 301 549</w:t>
            </w:r>
          </w:p>
        </w:tc>
        <w:tc>
          <w:tcPr>
            <w:tcW w:type="dxa" w:w="3024"/>
          </w:tcPr>
          <w:p>
            <w:r>
              <w:rPr>
                <w:rFonts w:ascii="Times New Roman" w:hAnsi="Times New Roman"/>
                <w:sz w:val="20"/>
              </w:rPr>
              <w:t>Mittel (formeller Einwand)</w:t>
            </w:r>
          </w:p>
        </w:tc>
      </w:tr>
      <w:tr>
        <w:tc>
          <w:tcPr>
            <w:tcW w:type="dxa" w:w="3024"/>
          </w:tcPr>
          <w:p>
            <w:r>
              <w:rPr>
                <w:rFonts w:ascii="Times New Roman" w:hAnsi="Times New Roman"/>
                <w:sz w:val="20"/>
              </w:rPr>
              <w:t>Unverzügliches Handeln nach Kenntnis</w:t>
            </w:r>
          </w:p>
        </w:tc>
        <w:tc>
          <w:tcPr>
            <w:tcW w:type="dxa" w:w="3024"/>
          </w:tcPr>
          <w:p>
            <w:r>
              <w:rPr>
                <w:rFonts w:ascii="Times New Roman" w:hAnsi="Times New Roman"/>
                <w:sz w:val="20"/>
              </w:rPr>
              <w:t>§ 37 Abs. 3 BFSG (Mitverschulden)</w:t>
            </w:r>
          </w:p>
        </w:tc>
        <w:tc>
          <w:tcPr>
            <w:tcW w:type="dxa" w:w="3024"/>
          </w:tcPr>
          <w:p>
            <w:r>
              <w:rPr>
                <w:rFonts w:ascii="Times New Roman" w:hAnsi="Times New Roman"/>
                <w:sz w:val="20"/>
              </w:rPr>
              <w:t>Hoch</w:t>
            </w:r>
          </w:p>
        </w:tc>
      </w:tr>
      <w:tr>
        <w:tc>
          <w:tcPr>
            <w:tcW w:type="dxa" w:w="3024"/>
          </w:tcPr>
          <w:p>
            <w:r>
              <w:rPr>
                <w:rFonts w:ascii="Times New Roman" w:hAnsi="Times New Roman"/>
                <w:sz w:val="20"/>
              </w:rPr>
              <w:t>Sanierungsplan liegt vor</w:t>
            </w:r>
          </w:p>
        </w:tc>
        <w:tc>
          <w:tcPr>
            <w:tcW w:type="dxa" w:w="3024"/>
          </w:tcPr>
          <w:p>
            <w:r>
              <w:rPr>
                <w:rFonts w:ascii="Times New Roman" w:hAnsi="Times New Roman"/>
                <w:sz w:val="20"/>
              </w:rPr>
              <w:t>BVerwG-Rspr. Verhältnismäßigkeit</w:t>
            </w:r>
          </w:p>
        </w:tc>
        <w:tc>
          <w:tcPr>
            <w:tcW w:type="dxa" w:w="3024"/>
          </w:tcPr>
          <w:p>
            <w:r>
              <w:rPr>
                <w:rFonts w:ascii="Times New Roman" w:hAnsi="Times New Roman"/>
                <w:sz w:val="20"/>
              </w:rPr>
              <w:t>Hoch</w:t>
            </w:r>
          </w:p>
        </w:tc>
      </w:tr>
      <w:tr>
        <w:tc>
          <w:tcPr>
            <w:tcW w:type="dxa" w:w="3024"/>
          </w:tcPr>
          <w:p>
            <w:r>
              <w:rPr>
                <w:rFonts w:ascii="Times New Roman" w:hAnsi="Times New Roman"/>
                <w:sz w:val="20"/>
              </w:rPr>
              <w:t>Altprodukt-Ausnahme für 2 PDFs</w:t>
            </w:r>
          </w:p>
        </w:tc>
        <w:tc>
          <w:tcPr>
            <w:tcW w:type="dxa" w:w="3024"/>
          </w:tcPr>
          <w:p>
            <w:r>
              <w:rPr>
                <w:rFonts w:ascii="Times New Roman" w:hAnsi="Times New Roman"/>
                <w:sz w:val="20"/>
              </w:rPr>
              <w:t>§ 38 Abs. 1 BFSG</w:t>
            </w:r>
          </w:p>
        </w:tc>
        <w:tc>
          <w:tcPr>
            <w:tcW w:type="dxa" w:w="3024"/>
          </w:tcPr>
          <w:p>
            <w:r>
              <w:rPr>
                <w:rFonts w:ascii="Times New Roman" w:hAnsi="Times New Roman"/>
                <w:sz w:val="20"/>
              </w:rPr>
              <w:t>Mittel</w:t>
            </w:r>
          </w:p>
        </w:tc>
      </w:tr>
      <w:tr>
        <w:tc>
          <w:tcPr>
            <w:tcW w:type="dxa" w:w="3024"/>
          </w:tcPr>
          <w:p>
            <w:r>
              <w:rPr>
                <w:rFonts w:ascii="Times New Roman" w:hAnsi="Times New Roman"/>
                <w:sz w:val="20"/>
              </w:rPr>
              <w:t>Technische Verantwortung Lavendelhaus</w:t>
            </w:r>
          </w:p>
        </w:tc>
        <w:tc>
          <w:tcPr>
            <w:tcW w:type="dxa" w:w="3024"/>
          </w:tcPr>
          <w:p>
            <w:r>
              <w:rPr>
                <w:rFonts w:ascii="Times New Roman" w:hAnsi="Times New Roman"/>
                <w:sz w:val="20"/>
              </w:rPr>
              <w:t>Mitverschulden Dritter</w:t>
            </w:r>
          </w:p>
        </w:tc>
        <w:tc>
          <w:tcPr>
            <w:tcW w:type="dxa" w:w="3024"/>
          </w:tcPr>
          <w:p>
            <w:r>
              <w:rPr>
                <w:rFonts w:ascii="Times New Roman" w:hAnsi="Times New Roman"/>
                <w:sz w:val="20"/>
              </w:rPr>
              <w:t>Mittel</w:t>
            </w:r>
          </w:p>
        </w:tc>
      </w:tr>
      <w:tr>
        <w:tc>
          <w:tcPr>
            <w:tcW w:type="dxa" w:w="3024"/>
          </w:tcPr>
          <w:p>
            <w:r>
              <w:rPr>
                <w:rFonts w:ascii="Times New Roman" w:hAnsi="Times New Roman"/>
                <w:sz w:val="20"/>
              </w:rPr>
              <w:t>Kein Vorsatz</w:t>
            </w:r>
          </w:p>
        </w:tc>
        <w:tc>
          <w:tcPr>
            <w:tcW w:type="dxa" w:w="3024"/>
          </w:tcPr>
          <w:p>
            <w:r>
              <w:rPr>
                <w:rFonts w:ascii="Times New Roman" w:hAnsi="Times New Roman"/>
                <w:sz w:val="20"/>
              </w:rPr>
              <w:t>§ 37 Abs. 1 S. 1 BFSG</w:t>
            </w:r>
          </w:p>
        </w:tc>
        <w:tc>
          <w:tcPr>
            <w:tcW w:type="dxa" w:w="3024"/>
          </w:tcPr>
          <w:p>
            <w:r>
              <w:rPr>
                <w:rFonts w:ascii="Times New Roman" w:hAnsi="Times New Roman"/>
                <w:sz w:val="20"/>
              </w:rPr>
              <w:t>Hoch</w:t>
            </w:r>
          </w:p>
        </w:tc>
      </w:tr>
    </w:tbl>
    <w:p/>
    <w:p>
      <w:pPr>
        <w:pStyle w:val="Heading2"/>
      </w:pPr>
      <w:r>
        <w:rPr>
          <w:rFonts w:ascii="Times New Roman" w:hAnsi="Times New Roman"/>
        </w:rPr>
        <w:t>5. Erwartetes Verfahrensergebnis</w:t>
      </w:r>
    </w:p>
    <w:p>
      <w:pPr>
        <w:jc w:val="left"/>
      </w:pPr>
      <w:r>
        <w:t>Prognose: MüNI wird bei Vorlage einer belastbaren Remediation-Roadmap und Nachweis erster Fortschritte (z.B. Kontrast-Fix, Fokus-CSS) von einer Untersagungsverfügung absehen und eine Abhilfeverfügung mit Frist bis 30.09.2026 erteilen. Bußgeld im unteren Bereich (10.000–25.000 EUR) wahrscheinlich, sofern keine Wiederholung.</w:t>
      </w:r>
    </w:p>
    <w:p>
      <w:pPr>
        <w:jc w:val="left"/>
      </w:pPr>
      <w:r>
        <w:t>Verhandlungsziel: Bußgeld unter 20.000 EUR, keine Untersagungsverfügung, Abhilfefrist bis 30.09.2026.</w:t>
      </w:r>
    </w:p>
    <w:p/>
    <w:p>
      <w:pPr>
        <w:jc w:val="left"/>
      </w:pPr>
      <w:r>
        <w:rPr>
          <w:i/>
        </w:rPr>
        <w:t>Quelle: BFSG §§ 30–37 (dejure.org/gesetze/BFSG); VwVfG § 28 (dejure.org/gesetze/VwVfG/28.html)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