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11 — Erklärung zur Barrierefreiheit: § 19 BFSG-DV</w:t>
      </w:r>
    </w:p>
    <w:p>
      <w:pPr>
        <w:jc w:val="left"/>
      </w:pPr>
      <w:r>
        <w:rPr>
          <w:b/>
        </w:rPr>
        <w:t>Bearbeitungsstand:</w:t>
      </w:r>
      <w:r>
        <w:t xml:space="preserve"> April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Regelungsgehalt</w:t>
      </w:r>
    </w:p>
    <w:p>
      <w:pPr>
        <w:jc w:val="left"/>
      </w:pPr>
      <w:r>
        <w:t>§ 19 BFSG-DV (Barrierefreiheitsstärkungsgesetz-Durchführungsverordnung) verpflichtet Dienstleistungserbringer im Bereich E-Commerce dazu, auf ihrer Website eine „Erklärung zur Barrierefreiheit" zu veröffentlichen. Diese Pflicht gilt ab 28.06.2025.</w:t>
      </w:r>
    </w:p>
    <w:p>
      <w:pPr>
        <w:jc w:val="left"/>
      </w:pPr>
      <w:r>
        <w:t>Die Erklärung muss enthalten (§ 19 Abs. 2 BFSG-DV):</w:t>
      </w:r>
    </w:p>
    <w:p>
      <w:pPr>
        <w:pStyle w:val="ListNumber"/>
      </w:pPr>
      <w:r>
        <w:t>Eine Bewertung des aktuellen Barrierefreiheitsstands des Dienstes</w:t>
      </w:r>
    </w:p>
    <w:p>
      <w:pPr>
        <w:pStyle w:val="ListNumber"/>
      </w:pPr>
      <w:r>
        <w:t>Angabe bekannter Mängel und nicht barrierefreier Inhalte</w:t>
      </w:r>
    </w:p>
    <w:p>
      <w:pPr>
        <w:pStyle w:val="ListNumber"/>
      </w:pPr>
      <w:r>
        <w:t>Angabe von Ausnahmen, die in Anspruch genommen werden</w:t>
      </w:r>
    </w:p>
    <w:p>
      <w:pPr>
        <w:pStyle w:val="ListNumber"/>
      </w:pPr>
      <w:r>
        <w:t>Datum der Erstellung und letzten Aktualisierung</w:t>
      </w:r>
    </w:p>
    <w:p>
      <w:pPr>
        <w:pStyle w:val="ListNumber"/>
      </w:pPr>
      <w:r>
        <w:t>Kontaktinformationen für Rückmeldungen</w:t>
      </w:r>
    </w:p>
    <w:p/>
    <w:p>
      <w:pPr>
        <w:pStyle w:val="Heading2"/>
      </w:pPr>
      <w:r>
        <w:rPr>
          <w:rFonts w:ascii="Times New Roman" w:hAnsi="Times New Roman"/>
        </w:rPr>
        <w:t>2. Festgestellter Verstoß</w:t>
      </w:r>
    </w:p>
    <w:p>
      <w:pPr>
        <w:jc w:val="left"/>
      </w:pPr>
      <w:r>
        <w:t>Zum Zeitpunkt der VZ-NRW-Meldung (12.03.2026) und der MüNI-Verfahrenseinleitung (15.03.2026) war auf tannenkamp-mode.de keine Erklärung zur Barrierefreiheit vorhanden. Weder im Footer noch unter dem Impressum noch unter einem gesonderten Menüpunkt.</w:t>
      </w:r>
    </w:p>
    <w:p>
      <w:pPr>
        <w:jc w:val="left"/>
      </w:pPr>
      <w:r>
        <w:t>Dies ist ein eigenständiger Verstoß neben den technischen Barrierefreiheitsmängeln. § 19 BFSG-DV ist eine Transparenzpflicht; ihre Verletzung ist unabhängig von der technischen Konformität des Shops sanktionierbar.</w:t>
      </w:r>
    </w:p>
    <w:p/>
    <w:p>
      <w:pPr>
        <w:pStyle w:val="Heading2"/>
      </w:pPr>
      <w:r>
        <w:rPr>
          <w:rFonts w:ascii="Times New Roman" w:hAnsi="Times New Roman"/>
        </w:rPr>
        <w:t>3. Inhalt einer ordnungsgemäßen Erklärung (Muster)</w:t>
      </w:r>
    </w:p>
    <w:p>
      <w:pPr>
        <w:jc w:val="left"/>
      </w:pPr>
      <w:r>
        <w:rPr>
          <w:b/>
        </w:rPr>
        <w:t>Erklärung zur Barrierefreiheit — Tannenkamp Mode-Versand (Entwurf)</w:t>
      </w:r>
    </w:p>
    <w:p>
      <w:pPr>
        <w:jc w:val="left"/>
      </w:pPr>
      <w:r>
        <w:t>Tannenkamp Mode-Versand GmbH ist bemüht, ihre Website tannenkamp-mode.de im Einklang mit dem Barrierefreiheitsstärkungsgesetz (BFSG) und den Anforderungen der EN 301 549 zugänglich zu gestalten.</w:t>
      </w:r>
    </w:p>
    <w:p>
      <w:pPr>
        <w:jc w:val="left"/>
      </w:pPr>
      <w:r>
        <w:rPr>
          <w:b/>
        </w:rPr>
        <w:t>Aktueller Stand:</w:t>
      </w:r>
      <w:r>
        <w:t xml:space="preserve"> Der Online-Shop erfüllt derzeit nicht vollständig die Anforderungen der EN 301 549 / WCAG 2.1 AA. Wir arbeiten an einer vollständigen Umsetzung bis 30.09.2026.</w:t>
      </w:r>
    </w:p>
    <w:p>
      <w:pPr>
        <w:jc w:val="left"/>
      </w:pPr>
      <w:r>
        <w:rPr>
          <w:b/>
        </w:rPr>
        <w:t>Bekannte Mängel:</w:t>
      </w:r>
    </w:p>
    <w:p>
      <w:pPr>
        <w:pStyle w:val="ListBullet"/>
      </w:pPr>
      <w:r>
        <w:t>Kontrastverhältnis Fließtext: 2,8:1 (Ziel: 4,5:1); Behebung geplant bis 30.06.2026</w:t>
      </w:r>
    </w:p>
    <w:p>
      <w:pPr>
        <w:pStyle w:val="ListBullet"/>
      </w:pPr>
      <w:r>
        <w:t>Fehlende Alt-Texte bei Produktbildern; fortlaufende Nachpflege</w:t>
      </w:r>
    </w:p>
    <w:p>
      <w:pPr>
        <w:pStyle w:val="ListBullet"/>
      </w:pPr>
      <w:r>
        <w:t>Tastatur-Navigation und Fokusanzeige; Behebung bis 30.06.2026</w:t>
      </w:r>
    </w:p>
    <w:p>
      <w:pPr>
        <w:pStyle w:val="ListBullet"/>
      </w:pPr>
      <w:r>
        <w:t>ARIA-Rollen teilweise inkorrekt; Behebung bis 30.09.2026</w:t>
      </w:r>
    </w:p>
    <w:p>
      <w:pPr>
        <w:pStyle w:val="ListBullet"/>
      </w:pPr>
      <w:r>
        <w:t>Kein Skip-Link; Behebung bis 30.06.2026</w:t>
      </w:r>
    </w:p>
    <w:p>
      <w:pPr>
        <w:jc w:val="left"/>
      </w:pPr>
      <w:r>
        <w:rPr>
          <w:b/>
        </w:rPr>
        <w:t>Ausnahmen:</w:t>
      </w:r>
      <w:r>
        <w:t xml:space="preserve"> Die PDF-Produktkataloge Herbst/Winter 2024 und Frühjahr/Sommer 2025 wurden vor dem 28.06.2025 veröffentlicht; wir beanspruchen insoweit die Ausnahme nach § 38 Abs. 1 BFSG.</w:t>
      </w:r>
    </w:p>
    <w:p>
      <w:pPr>
        <w:jc w:val="left"/>
      </w:pPr>
      <w:r>
        <w:rPr>
          <w:b/>
        </w:rPr>
        <w:t>Rückmeldestelle:</w:t>
      </w:r>
      <w:r>
        <w:t xml:space="preserve"> Sie können uns Barrieren per E-Mail an barrierefreiheit@tannenkamp-mode.de oder telefonisch unter 0541-XXXXXXX mitteilen. Wir antworten binnen 15 Werktagen.</w:t>
      </w:r>
    </w:p>
    <w:p>
      <w:pPr>
        <w:jc w:val="left"/>
      </w:pPr>
      <w:r>
        <w:rPr>
          <w:b/>
        </w:rPr>
        <w:t>Erstellt:</w:t>
      </w:r>
      <w:r>
        <w:t xml:space="preserve"> 06.04.2026 | </w:t>
      </w:r>
      <w:r>
        <w:rPr>
          <w:b/>
        </w:rPr>
        <w:t>Letzte Aktualisierung:</w:t>
      </w:r>
      <w:r>
        <w:t xml:space="preserve"> 06.04.2026</w:t>
      </w:r>
    </w:p>
    <w:p/>
    <w:p>
      <w:pPr>
        <w:pStyle w:val="Heading2"/>
      </w:pPr>
      <w:r>
        <w:rPr>
          <w:rFonts w:ascii="Times New Roman" w:hAnsi="Times New Roman"/>
        </w:rPr>
        <w:t>4. Umsetzungsstand</w:t>
      </w:r>
    </w:p>
    <w:p>
      <w:pPr>
        <w:jc w:val="left"/>
      </w:pPr>
      <w:r>
        <w:t>Die Erklärung zur Barrierefreiheit wurde auf Empfehlung von Dr. Friedrichs am 06.04.2026 — parallel zur Stellungnahme an MüNI — auf der Website veröffentlicht. Sie ist im Footer unter „Barrierefreiheit" verlinkt.</w:t>
      </w:r>
    </w:p>
    <w:p/>
    <w:p>
      <w:pPr>
        <w:pStyle w:val="Heading2"/>
      </w:pPr>
      <w:r>
        <w:rPr>
          <w:rFonts w:ascii="Times New Roman" w:hAnsi="Times New Roman"/>
        </w:rPr>
        <w:t>5. Folgen der Nachholung</w:t>
      </w:r>
    </w:p>
    <w:p>
      <w:pPr>
        <w:jc w:val="left"/>
      </w:pPr>
      <w:r>
        <w:t>Die nachträgliche Veröffentlichung der Erklärung zur Barrierefreiheit mildert die Sanktionssituation: Der Verstoß dauerte von 28.06.2025 bis 06.04.2026 (ca. 9,5 Monate). Nach Veröffentlichung ist dieser spezifische Verstoß beendet. Dies ist in der Bußgelddiskussion geltend zu machen (§ 17 Abs. 3 OWiG: Nachtatverhalten).</w:t>
      </w:r>
    </w:p>
    <w:p/>
    <w:p>
      <w:pPr>
        <w:jc w:val="left"/>
      </w:pPr>
      <w:r>
        <w:rPr>
          <w:i/>
        </w:rPr>
        <w:t>Quelle: BFSG-DV § 19 (dejure.org/gesetze/BFSG-DV); BFSG § 14 (dejure.org/gesetze/BFSG)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