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Aktenstück 12 — Feedback-Mechanismus und Kontaktstelle (§ 16 BFSG-DV)</w:t>
      </w:r>
    </w:p>
    <w:p>
      <w:pPr>
        <w:jc w:val="left"/>
      </w:pPr>
      <w:r>
        <w:rPr>
          <w:b/>
        </w:rPr>
        <w:t>Bearbeitungsstand:</w:t>
      </w:r>
      <w:r>
        <w:t xml:space="preserve"> April 2026</w:t>
      </w:r>
    </w:p>
    <w:p>
      <w:pPr>
        <w:jc w:val="left"/>
      </w:pPr>
      <w:r>
        <w:rPr>
          <w:b/>
        </w:rPr>
        <w:t>Bearb.:</w:t>
      </w:r>
      <w:r>
        <w:t xml:space="preserve"> Dr. A. Friedrichs</w:t>
      </w:r>
    </w:p>
    <w:p/>
    <w:p>
      <w:pPr>
        <w:pStyle w:val="Heading2"/>
      </w:pPr>
      <w:r>
        <w:rPr>
          <w:rFonts w:ascii="Times New Roman" w:hAnsi="Times New Roman"/>
        </w:rPr>
        <w:t>1. Regelungsgehalt § 16 BFSG-DV</w:t>
      </w:r>
    </w:p>
    <w:p>
      <w:pPr>
        <w:jc w:val="left"/>
      </w:pPr>
      <w:r>
        <w:t xml:space="preserve">§ 16 BFSG-DV (Durchführungsverordnung zum BFSG) verpflichtet Dienstleistungserbringer zur Einrichtung eines </w:t>
      </w:r>
      <w:r>
        <w:rPr>
          <w:b/>
        </w:rPr>
        <w:t>Feedback-Mechanismus</w:t>
      </w:r>
      <w:r>
        <w:t>: Verbraucher sollen die Möglichkeit haben, Barrieren auf der Website des Unternehmens zu melden und Antworten zu erhalten.</w:t>
      </w:r>
    </w:p>
    <w:p>
      <w:pPr>
        <w:jc w:val="left"/>
      </w:pPr>
      <w:r>
        <w:t>Der Feedback-Mechanismus muss:</w:t>
      </w:r>
    </w:p>
    <w:p>
      <w:pPr>
        <w:pStyle w:val="ListBullet"/>
      </w:pPr>
      <w:r>
        <w:t>barrierefrei selbst zugänglich sein (zirkuläres Erfordernis: eine barrierefreie Meldestelle für eine nicht-barrierefreie Website)</w:t>
      </w:r>
    </w:p>
    <w:p>
      <w:pPr>
        <w:pStyle w:val="ListBullet"/>
      </w:pPr>
      <w:r>
        <w:t>eine Reaktion innerhalb einer angemessenen Frist vorsehen</w:t>
      </w:r>
    </w:p>
    <w:p>
      <w:pPr>
        <w:pStyle w:val="ListBullet"/>
      </w:pPr>
      <w:r>
        <w:t>zu einer zuständigen Stelle führen, die die Meldung bearbeitet</w:t>
      </w:r>
    </w:p>
    <w:p/>
    <w:p>
      <w:pPr>
        <w:pStyle w:val="Heading2"/>
      </w:pPr>
      <w:r>
        <w:rPr>
          <w:rFonts w:ascii="Times New Roman" w:hAnsi="Times New Roman"/>
        </w:rPr>
        <w:t>2. Festgestellter Verstoß</w:t>
      </w:r>
    </w:p>
    <w:p>
      <w:pPr>
        <w:jc w:val="left"/>
      </w:pPr>
      <w:r>
        <w:t>Zum Zeitpunkt der Verfahrenseinleitung (März 2026) existierte auf tannenkamp-mode.de kein dedizierter Feedback-Mechanismus für Barrierefreiheitsmeldungen. Das allgemeine Kontaktformular des Shops ersetzt diesen nicht, da es:</w:t>
      </w:r>
    </w:p>
    <w:p>
      <w:pPr>
        <w:pStyle w:val="ListBullet"/>
      </w:pPr>
      <w:r>
        <w:t>keine Kategorie „Barrierefreiheit" aufweist</w:t>
      </w:r>
    </w:p>
    <w:p>
      <w:pPr>
        <w:pStyle w:val="ListBullet"/>
      </w:pPr>
      <w:r>
        <w:t>selbst nicht barrierefrei ist (das Formular hat keine korrekten ARIA-Labels)</w:t>
      </w:r>
    </w:p>
    <w:p>
      <w:pPr>
        <w:pStyle w:val="ListBullet"/>
      </w:pPr>
      <w:r>
        <w:t>keine definierte Bearbeitungspflicht enthält</w:t>
      </w:r>
    </w:p>
    <w:p>
      <w:pPr>
        <w:jc w:val="left"/>
      </w:pPr>
      <w:r>
        <w:t>Dies ist wie die fehlende Erklärung zur Barrierefreiheit (Aktenstück 11) ein Verstoß gegen die Transparenz- und Verfahrenspflichten des BFSG.</w:t>
      </w:r>
    </w:p>
    <w:p/>
    <w:p>
      <w:pPr>
        <w:pStyle w:val="Heading2"/>
      </w:pPr>
      <w:r>
        <w:rPr>
          <w:rFonts w:ascii="Times New Roman" w:hAnsi="Times New Roman"/>
        </w:rPr>
        <w:t>3. Anforderungen an einen konformen Feedback-Mechanismus</w:t>
      </w:r>
    </w:p>
    <w:p>
      <w:pPr>
        <w:jc w:val="left"/>
      </w:pPr>
      <w:r>
        <w:t>Ein rechtskonformer Feedback-Mechanismus (§ 16 BFSG-DV) muss enthalten: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Element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Anforderung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Zugänglichkeit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Erreichbar per Tastatur, Screenreader-kompatibel, ohne Login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Kontaktwege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Mindestens E-Mail; ergänzend Telefon oder Web-Formular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Inhaltliche Felder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Name (optional), Beschreibung der Barriere, betroffene Seite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Bestätigung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Automatische Eingangsbestätigung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Reaktionsfrist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Max. 15 Werktage für qualifizierte Antwort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Eskalation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Hinweis auf Beschwerdestelle (MüNI LAVES) bei Nichtbearbeitung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Barrierefreiheit des Mechanismus selbst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Formular oder E-Mail-Link muss WCAG 2.1 AA erfüllen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4. Umsetzungsplan</w:t>
      </w:r>
    </w:p>
    <w:p>
      <w:pPr>
        <w:jc w:val="left"/>
      </w:pPr>
      <w:r>
        <w:rPr>
          <w:b/>
        </w:rPr>
        <w:t>Sofortmaßnahme (realisiert am 06.04.2026):</w:t>
      </w:r>
      <w:r>
        <w:t xml:space="preserve"> Dedizierte E-Mail-Adresse barrierefreiheit@tannenkamp-mode.de eingerichtet, in der Erklärung zur Barrierefreiheit und im Footer verlinkt.</w:t>
      </w:r>
    </w:p>
    <w:p>
      <w:pPr>
        <w:jc w:val="left"/>
      </w:pPr>
      <w:r>
        <w:rPr>
          <w:b/>
        </w:rPr>
        <w:t>Mittelfristig (bis 30.06.2026):</w:t>
      </w:r>
      <w:r>
        <w:t xml:space="preserve"> Barrierefreies Web-Formular auf einer eigenen Unterseite /barrierefreiheit/. Das Formular wird mit korrekten ARIA-Labels, Keyboard-Accessibility und automatischer Bestätigung implementiert.</w:t>
      </w:r>
    </w:p>
    <w:p>
      <w:pPr>
        <w:jc w:val="left"/>
      </w:pPr>
      <w:r>
        <w:rPr>
          <w:b/>
        </w:rPr>
        <w:t>Prozessual:</w:t>
      </w:r>
      <w:r>
        <w:t xml:space="preserve"> Interner Prozess bei Marion Hüsing (kaufm. Leiterin): Meldungen werden binnen 3 Werktagen intern weitergeleitet und binnen 15 Werktagen beantwortet. Protokollierung aller Eingänge in einem Ticketsystem.</w:t>
      </w:r>
    </w:p>
    <w:p/>
    <w:p>
      <w:pPr>
        <w:pStyle w:val="Heading2"/>
      </w:pPr>
      <w:r>
        <w:rPr>
          <w:rFonts w:ascii="Times New Roman" w:hAnsi="Times New Roman"/>
        </w:rPr>
        <w:t>5. Bedeutung für die Verteidigung</w:t>
      </w:r>
    </w:p>
    <w:p>
      <w:pPr>
        <w:jc w:val="left"/>
      </w:pPr>
      <w:r>
        <w:t>Die Einrichtung des Feedback-Mechanismus am 06.04.2026 beendet diesen spezifischen Verstoß. Für den Zeitraum 28.06.2025 bis 06.04.2026 (ca. 9,5 Monate) lag ein Verstoß vor.</w:t>
      </w:r>
    </w:p>
    <w:p>
      <w:pPr>
        <w:jc w:val="left"/>
      </w:pPr>
      <w:r>
        <w:t>Im Bußgeldverfahren: Der Verstoß gegen § 16 BFSG-DV (Feedback-Mechanismus) und § 19 BFSG-DV (Erklärung) sind Verfahrenspflichtverstöße, die typischerweise milder sanktioniert werden als materielle Barrierefreiheitsmängel. Sie erhöhen die Gesamtbußgeldbemessungsgrundlage, stellen aber nicht die schwersten Verstöße dar.</w:t>
      </w:r>
    </w:p>
    <w:p/>
    <w:p>
      <w:pPr>
        <w:jc w:val="left"/>
      </w:pPr>
      <w:r>
        <w:rPr>
          <w:i/>
        </w:rPr>
        <w:t>Quelle: BFSG-DV § 16, § 19 (dejure.org/gesetze/BFSG-DV); BFSG § 14 (dejure.org/gesetze/BFSG)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