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13 — Outsourcing-Regress: Lavendelhaus Design GbR Münster</w:t>
      </w:r>
    </w:p>
    <w:p>
      <w:pPr>
        <w:jc w:val="left"/>
      </w:pPr>
      <w:r>
        <w:rPr>
          <w:b/>
        </w:rPr>
        <w:t>Bearbeitungsstand:</w:t>
      </w:r>
      <w:r>
        <w:t xml:space="preserve"> April/Mai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Sachverhalt Vertragsbeziehung</w:t>
      </w:r>
    </w:p>
    <w:p>
      <w:pPr>
        <w:jc w:val="left"/>
      </w:pPr>
      <w:r>
        <w:t>Tannenkamp Mode-Versand GmbH schloss im Jahr 2022 mit der Lavendelhaus Design GbR, Münster (Gesellschafter: Petra Lavendel, Jonas Hausmann) einen Dienstleistungsvertrag über:</w:t>
      </w:r>
    </w:p>
    <w:p>
      <w:pPr>
        <w:pStyle w:val="ListBullet"/>
      </w:pPr>
      <w:r>
        <w:t>Entwicklung und Implementierung des Shopify-Themes „Lavanda Pro"</w:t>
      </w:r>
    </w:p>
    <w:p>
      <w:pPr>
        <w:pStyle w:val="ListBullet"/>
      </w:pPr>
      <w:r>
        <w:t>Laufende Wartung und Pflege des Themes</w:t>
      </w:r>
    </w:p>
    <w:p>
      <w:pPr>
        <w:pStyle w:val="ListBullet"/>
      </w:pPr>
      <w:r>
        <w:t>Technische Anpassungen auf Abruf (Time &amp; Material)</w:t>
      </w:r>
    </w:p>
    <w:p>
      <w:pPr>
        <w:jc w:val="left"/>
      </w:pPr>
      <w:r>
        <w:t>Vertragsunterzeichnung: 14. März 2022. Vereinbarte Vergütung: 18.500 EUR einmalig für Entwicklung; monatlich 850 EUR Wartungspauschale. Gesamtzahlungen 2022–2026: ca. 68.500 EUR.</w:t>
      </w:r>
    </w:p>
    <w:p/>
    <w:p>
      <w:pPr>
        <w:pStyle w:val="Heading2"/>
      </w:pPr>
      <w:r>
        <w:rPr>
          <w:rFonts w:ascii="Times New Roman" w:hAnsi="Times New Roman"/>
        </w:rPr>
        <w:t>2. Regressfrage: Wer hat die BFSG-Mängel verursacht?</w:t>
      </w:r>
    </w:p>
    <w:p>
      <w:pPr>
        <w:jc w:val="left"/>
      </w:pPr>
      <w:r>
        <w:t>Die Barrierefreiheitsmängel (fehlendes Fokus-CSS, falsche ARIA-Roles, kein Skip-Link, fehlende Alt-Text-Infrastruktur) sind überwiegend im Shopify-Theme „Lavanda Pro" verankert. Das Theme wurde von Lavendelhaus Design GbR entwickelt und wird laufend gewartet.</w:t>
      </w:r>
    </w:p>
    <w:p>
      <w:pPr>
        <w:jc w:val="left"/>
      </w:pPr>
      <w:r>
        <w:rPr>
          <w:b/>
        </w:rPr>
        <w:t>Argumente für Regressanspruch:</w:t>
      </w:r>
    </w:p>
    <w:p>
      <w:pPr>
        <w:pStyle w:val="ListNumber"/>
      </w:pPr>
      <w:r>
        <w:t>Lavendelhaus Design war als IT-Dienstleister verpflichtet, den anerkannten Regeln der Technik zu folgen.</w:t>
      </w:r>
    </w:p>
    <w:p>
      <w:pPr>
        <w:pStyle w:val="ListNumber"/>
      </w:pPr>
      <w:r>
        <w:t>Die WCAG 2.1 AA waren bereits seit 2018 bekannt und allgemein anerkannt (vgl. BITV 2.0, die sie seit 2019 implementiert).</w:t>
      </w:r>
    </w:p>
    <w:p>
      <w:pPr>
        <w:pStyle w:val="ListNumber"/>
      </w:pPr>
      <w:r>
        <w:t>Das Theme wurde 2022 — vier Jahre vor BFSG-Inkrafttreten — entwickelt. Gute Praxis war bereits WCAG-Konformität bei Shopify-Theme-Entwicklung.</w:t>
      </w:r>
    </w:p>
    <w:p>
      <w:pPr>
        <w:pStyle w:val="ListNumber"/>
      </w:pPr>
      <w:r>
        <w:t>Die Wartungspflicht 2022–2026 umfasst nach Treu und Glauben die Anpassung an neue Rechtsanforderungen, die zum Zeitpunkt des Vertragsschlusses bereits absehbar waren (BFSG-Entwurf: 2020, BGBl. I 2021).</w:t>
      </w:r>
    </w:p>
    <w:p>
      <w:pPr>
        <w:pStyle w:val="ListNumber"/>
      </w:pPr>
      <w:r>
        <w:t>Lavendelhaus hat Mandantin nicht auf die BFSG-Anforderungen hingewiesen, obwohl das Gesetz 2021 veröffentlicht wurde.</w:t>
      </w:r>
    </w:p>
    <w:p>
      <w:pPr>
        <w:jc w:val="left"/>
      </w:pPr>
      <w:r>
        <w:rPr>
          <w:b/>
        </w:rPr>
        <w:t>Gegenargumente Lavendelhaus (zu erwarten):</w:t>
      </w:r>
    </w:p>
    <w:p>
      <w:pPr>
        <w:pStyle w:val="ListNumber"/>
      </w:pPr>
      <w:r>
        <w:t>Tannenkamp hat die konkreten Mängel (fehlende Alt-Texte) selbst durch Upload nicht-beschrifteter Produktbilder verursacht.</w:t>
      </w:r>
    </w:p>
    <w:p>
      <w:pPr>
        <w:pStyle w:val="ListNumber"/>
      </w:pPr>
      <w:r>
        <w:t>Wartungsvertrag enthält keine explizite Pflicht zur WCAG-Aufrüstung.</w:t>
      </w:r>
    </w:p>
    <w:p>
      <w:pPr>
        <w:pStyle w:val="ListNumber"/>
      </w:pPr>
      <w:r>
        <w:t>BFSG-Konformität war bei Vertragsschluss 2022 keine vertraglich geschuldete Eigenschaft des Themes.</w:t>
      </w:r>
    </w:p>
    <w:p/>
    <w:p>
      <w:pPr>
        <w:pStyle w:val="Heading2"/>
      </w:pPr>
      <w:r>
        <w:rPr>
          <w:rFonts w:ascii="Times New Roman" w:hAnsi="Times New Roman"/>
        </w:rPr>
        <w:t>3. Rechtliche Grundlage Regressanspruch</w:t>
      </w:r>
    </w:p>
    <w:p>
      <w:pPr>
        <w:pStyle w:val="Heading3"/>
      </w:pPr>
      <w:r>
        <w:rPr>
          <w:rFonts w:ascii="Times New Roman" w:hAnsi="Times New Roman"/>
        </w:rPr>
        <w:t>3.1 Werkvertrag (§§ 633 ff. BGB)</w:t>
      </w:r>
    </w:p>
    <w:p>
      <w:pPr>
        <w:jc w:val="left"/>
      </w:pPr>
      <w:r>
        <w:t>Die Theme-Entwicklung ist ein Werkvertrag. Schuldner eines Werkvertrags muss ein Werk herstellen, das frei von Mängeln ist (§ 633 Abs. 1 BGB). Ein Mangel liegt vor, wenn die vereinbarte Beschaffenheit fehlt oder das Werk sich für den nach dem Vertrag vorausgesetzten oder den gewöhnlichen Gebrauch nicht eignet (§ 633 Abs. 2 BGB).</w:t>
      </w:r>
    </w:p>
    <w:p>
      <w:pPr>
        <w:jc w:val="left"/>
      </w:pPr>
      <w:r>
        <w:t>Gewöhnlicher Gebrauch eines kommerziellen Online-Shop-Themes ist die Nutzung als rechtskonformer E-Commerce-Shop im europäischen Markt. Ab 28.06.2025 gehört WCAG 2.1 AA-Konformität zur Mindestanforderung für den gewöhnlichen Gebrauch.</w:t>
      </w:r>
    </w:p>
    <w:p>
      <w:pPr>
        <w:jc w:val="left"/>
      </w:pPr>
      <w:r>
        <w:t>Argument: Das Theme war ab 28.06.2025 mangelhaft im Sinne von § 633 Abs. 2 Nr. 2 BGB, da es für den nach dem Vertrag vorausgesetzten Zweck (Betrieb eines BFSG-konformen Shops) nicht geeignet war.</w:t>
      </w:r>
    </w:p>
    <w:p>
      <w:pPr>
        <w:pStyle w:val="Heading3"/>
      </w:pPr>
      <w:r>
        <w:rPr>
          <w:rFonts w:ascii="Times New Roman" w:hAnsi="Times New Roman"/>
        </w:rPr>
        <w:t>3.2 Verletzung vertraglicher Nebenpflichten (§ 241 Abs. 2 BGB)</w:t>
      </w:r>
    </w:p>
    <w:p>
      <w:pPr>
        <w:jc w:val="left"/>
      </w:pPr>
      <w:r>
        <w:t>Lavendelhaus Design als IT-Dienstleister mit Spezialkenntnissen hatte eine Hinweispflicht auf das BFSG (veröffentlicht 2021, Anwendung ab 2025). Die Nichterfüllung dieser Hinweispflicht begründet Schadensersatzpflicht nach §§ 280 Abs. 1, 241 Abs. 2 BGB.</w:t>
      </w:r>
    </w:p>
    <w:p>
      <w:pPr>
        <w:pStyle w:val="Heading3"/>
      </w:pPr>
      <w:r>
        <w:rPr>
          <w:rFonts w:ascii="Times New Roman" w:hAnsi="Times New Roman"/>
        </w:rPr>
        <w:t>3.3 Mitverschulden Tannenkamp (§ 254 BGB)</w:t>
      </w:r>
    </w:p>
    <w:p>
      <w:pPr>
        <w:jc w:val="left"/>
      </w:pPr>
      <w:r>
        <w:t>Alt-Texte: Tannenkamp ist selbst verantwortlich für den Upload von Produktbildern ohne Alt-Texte. Insoweit ist ein erhebliches Mitverschulden (mind. 50%) anzunehmen. Regressforderung für Alt-Texte-Sanierungskosten reduziert auf Quotenteil.</w:t>
      </w:r>
    </w:p>
    <w:p/>
    <w:p>
      <w:pPr>
        <w:pStyle w:val="Heading2"/>
      </w:pPr>
      <w:r>
        <w:rPr>
          <w:rFonts w:ascii="Times New Roman" w:hAnsi="Times New Roman"/>
        </w:rPr>
        <w:t>4. Regressforderung (Entwurf Quantifizierung)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Schadensposten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Mitverantwortung Lavendelhaus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Regressbetrag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Fokus-CSS-Korrektur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ARIA-Roles-Sanierung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3.600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Skip-Link-Implementierung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WCAG-Audit-Kosten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4.250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Rechtsberatungskosten anteilig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Alt-Texte-Sanierung (Theme-Infrastruktur)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22.100 EUR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11.850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Verfahrensstand</w:t>
      </w:r>
    </w:p>
    <w:p>
      <w:pPr>
        <w:jc w:val="left"/>
      </w:pPr>
      <w:r>
        <w:t>Regressforderungsschreiben wurde am 05.04.2026 per Einschreiben an Lavendelhaus Design GbR übersandt. Frist zur Stellungnahme: 30.04.2026. Reaktion von Lavendelhaus Design am 22.04.2026: Verweigerung jeglicher Haftung (vgl. EML 2026-04-05). Nächster Schritt: Schlichtungsangebot oder Klage vor LG Münster.</w:t>
      </w:r>
    </w:p>
    <w:p/>
    <w:p>
      <w:pPr>
        <w:jc w:val="left"/>
      </w:pPr>
      <w:r>
        <w:rPr>
          <w:i/>
        </w:rPr>
        <w:t>Quelle: BGB §§ 241, 280, 633 (dejure.org/gesetze/BGB); BFSG § 14 (dejure.org/gesetze/BFSG)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