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14 — EAA EU 2019/882: Richtlinienkonforme Auslegung des BFSG</w:t>
      </w:r>
    </w:p>
    <w:p>
      <w:pPr>
        <w:jc w:val="left"/>
      </w:pPr>
      <w:r>
        <w:rPr>
          <w:b/>
        </w:rPr>
        <w:t>Bearbeitungsstand:</w:t>
      </w:r>
      <w:r>
        <w:t xml:space="preserve"> April 2026</w:t>
      </w:r>
    </w:p>
    <w:p>
      <w:pPr>
        <w:jc w:val="left"/>
      </w:pPr>
      <w:r>
        <w:rPr>
          <w:b/>
        </w:rPr>
        <w:t>Bearb.:</w:t>
      </w:r>
      <w:r>
        <w:t xml:space="preserve"> Dr. A. Friedrichs</w:t>
      </w:r>
    </w:p>
    <w:p/>
    <w:p>
      <w:pPr>
        <w:pStyle w:val="Heading2"/>
      </w:pPr>
      <w:r>
        <w:rPr>
          <w:rFonts w:ascii="Times New Roman" w:hAnsi="Times New Roman"/>
        </w:rPr>
        <w:t>1. Bedeutung der Richtlinie für die Fallbearbeitung</w:t>
      </w:r>
    </w:p>
    <w:p>
      <w:pPr>
        <w:jc w:val="left"/>
      </w:pPr>
      <w:r>
        <w:t>Das BFSG ist die nationale Umsetzung der Europäischen Barrierefreiheitsrichtlinie (EAA, RL EU 2019/882 des Europäischen Parlaments und des Rates vom 17. April 2019). Da das BFSG die EAA umsetzt, sind seine Vorschriften richtlinienkonform auszulegen (Art. 288 Abs. 3 AEUV; EuGH-Rspr. seit C-14/83 von Colson). Widersprüche zwischen BFSG und EAA gehen zugunsten der EAA-Auslegung aus.</w:t>
      </w:r>
    </w:p>
    <w:p/>
    <w:p>
      <w:pPr>
        <w:pStyle w:val="Heading2"/>
      </w:pPr>
      <w:r>
        <w:rPr>
          <w:rFonts w:ascii="Times New Roman" w:hAnsi="Times New Roman"/>
        </w:rPr>
        <w:t>2. Zentrale EAA-Regelungen mit Relevanz für Tannenkamp</w:t>
      </w:r>
    </w:p>
    <w:p>
      <w:pPr>
        <w:pStyle w:val="Heading3"/>
      </w:pPr>
      <w:r>
        <w:rPr>
          <w:rFonts w:ascii="Times New Roman" w:hAnsi="Times New Roman"/>
        </w:rPr>
        <w:t>2.1 Art. 3 EAA — Produkte und Dienstleistungen</w:t>
      </w:r>
    </w:p>
    <w:p>
      <w:pPr>
        <w:jc w:val="left"/>
      </w:pPr>
      <w:r>
        <w:t>Art. 3 Abs. 2 lit. g EAA erfasst ausdrücklich „E-Commerce-Dienste" als von der Richtlinie erfasste Dienstleistungen. Umsetzung in § 1 Abs. 1 Nr. 2 BFSG. Kein Auslegungsspielraum.</w:t>
      </w:r>
    </w:p>
    <w:p>
      <w:pPr>
        <w:pStyle w:val="Heading3"/>
      </w:pPr>
      <w:r>
        <w:rPr>
          <w:rFonts w:ascii="Times New Roman" w:hAnsi="Times New Roman"/>
        </w:rPr>
        <w:t>2.2 Art. 4 EAA — Barrierefreiheitsanforderungen</w:t>
      </w:r>
    </w:p>
    <w:p>
      <w:pPr>
        <w:jc w:val="left"/>
      </w:pPr>
      <w:r>
        <w:t>Art. 4 EAA verpflichtet Mitgliedstaaten, sicherzustellen, dass Wirtschaftsakteure nur barrierefreie Produkte und Dienste in Verkehr bringen. Konformitätsvermutung bei Anwendung harmonisierter Normen (Art. 15 EAA = EN 301 549).</w:t>
      </w:r>
    </w:p>
    <w:p>
      <w:pPr>
        <w:pStyle w:val="Heading3"/>
      </w:pPr>
      <w:r>
        <w:rPr>
          <w:rFonts w:ascii="Times New Roman" w:hAnsi="Times New Roman"/>
        </w:rPr>
        <w:t>2.3 Art. 14 EAA — KMU und unverhältnismäßige Belastung</w:t>
      </w:r>
    </w:p>
    <w:p>
      <w:pPr>
        <w:jc w:val="left"/>
      </w:pPr>
      <w:r>
        <w:t>Art. 14 EAA regelt die Ausnahmen bei unverhältnismäßiger Belastung. Die in Art. 14 Abs. 2 EAA genannten Kriterien (Nettoumsatz, Größe des Unternehmens, Kosten der Barrierefreiheit, Zeitraum der Nutzung) wurden in § 3 Abs. 3 BFSG i.V.m. BFSG-DV § 5 umgesetzt.</w:t>
      </w:r>
    </w:p>
    <w:p>
      <w:pPr>
        <w:pStyle w:val="Heading3"/>
      </w:pPr>
      <w:r>
        <w:rPr>
          <w:rFonts w:ascii="Times New Roman" w:hAnsi="Times New Roman"/>
        </w:rPr>
        <w:t>2.4 Art. 32 EAA — Übergangsregelungen</w:t>
      </w:r>
    </w:p>
    <w:p>
      <w:pPr>
        <w:jc w:val="left"/>
      </w:pPr>
      <w:r>
        <w:t>Art. 32 Abs. 1 EAA: Mitgliedstaaten ergreifen notwendige Maßnahmen zum Inkrafttreten bis 28.06.2022 (Umsetzungsfrist) und zur Anwendung ab 28.06.2025. Art. 32 Abs. 2 EAA: Übergangsregelung für Dienstleistungsverträge vor 28.06.2025 bis 28.06.2030 — dies entspricht § 38 Abs. 2 BFSG.</w:t>
      </w:r>
    </w:p>
    <w:p/>
    <w:p>
      <w:pPr>
        <w:pStyle w:val="Heading2"/>
      </w:pPr>
      <w:r>
        <w:rPr>
          <w:rFonts w:ascii="Times New Roman" w:hAnsi="Times New Roman"/>
        </w:rPr>
        <w:t>3. Richtlinienkonforme Auslegung in offenen Streitpunkten</w:t>
      </w:r>
    </w:p>
    <w:p>
      <w:pPr>
        <w:pStyle w:val="Heading3"/>
      </w:pPr>
      <w:r>
        <w:rPr>
          <w:rFonts w:ascii="Times New Roman" w:hAnsi="Times New Roman"/>
        </w:rPr>
        <w:t>3.1 Dienstleistung vs. Produkt — E-Commerce-Ambivalenz</w:t>
      </w:r>
    </w:p>
    <w:p>
      <w:pPr>
        <w:jc w:val="left"/>
      </w:pPr>
      <w:r>
        <w:t>Die EAA differenziert zwischen Produkten (Anhang I Abschnitt I–II) und Dienstleistungen (Anhang I Abschnitt III). E-Commerce ist ausdrücklich Dienstleistung. Für das Verteidigungsargument, der Shop als solcher sei Altprodukt: Die richtlinienkonforme Auslegung legt nahe, dass laufend erbrachte Dienstleistungen (also auch ein aktiver Shop) nicht als „Produkt" zu qualifizieren sind.</w:t>
      </w:r>
    </w:p>
    <w:p>
      <w:pPr>
        <w:pStyle w:val="Heading3"/>
      </w:pPr>
      <w:r>
        <w:rPr>
          <w:rFonts w:ascii="Times New Roman" w:hAnsi="Times New Roman"/>
        </w:rPr>
        <w:t>3.2 Mindestharmonisierung vs. Vollharmonisierung</w:t>
      </w:r>
    </w:p>
    <w:p>
      <w:pPr>
        <w:jc w:val="left"/>
      </w:pPr>
      <w:r>
        <w:t>Die EAA ist im Bereich Barrierefreiheitsanforderungen eine Vollharmonisierungsrichtlinie (Art. 4 Abs. 2 EAA: Mitgliedstaaten dürfen keine strengeren als die in Anhang I festgelegten Anforderungen beibehalten oder einführen). Konsequenz: BITV 2.0 kann nicht über die EAA-Anforderungen hinausgehen und für private Wirtschaftsakteure keine Geltung beanspruchen. Dies stützt das Argument gegen die MüNI-Prüfung anhand von BITV 2.0.</w:t>
      </w:r>
    </w:p>
    <w:p>
      <w:pPr>
        <w:pStyle w:val="Heading3"/>
      </w:pPr>
      <w:r>
        <w:rPr>
          <w:rFonts w:ascii="Times New Roman" w:hAnsi="Times New Roman"/>
        </w:rPr>
        <w:t>3.3 Verhältnismäßigkeit von Sanktionen</w:t>
      </w:r>
    </w:p>
    <w:p>
      <w:pPr>
        <w:jc w:val="left"/>
      </w:pPr>
      <w:r>
        <w:t>Erwägungsgrund 76 EAA: Sanktionen sollen wirksam, verhältnismäßig und abschreckend sein. Für ein Unternehmen mit 18 Mio. EUR Umsatz, das unverzüglich gehandelt hat und einen Sanierungsplan vorlegt, wäre ein Bußgeld am oberen Rand des § 37 BFSG (100.000 EUR) unverhältnismäßig. Dies ist mit Verweis auf Erwägungsgrund 76 EAA vor MüNI und ggf. im verwaltungsgerichtlichen Verfahren geltend zu machen.</w:t>
      </w:r>
    </w:p>
    <w:p/>
    <w:p>
      <w:pPr>
        <w:pStyle w:val="Heading2"/>
      </w:pPr>
      <w:r>
        <w:rPr>
          <w:rFonts w:ascii="Times New Roman" w:hAnsi="Times New Roman"/>
        </w:rPr>
        <w:t>4. Vorlageentscheidung EuGH</w:t>
      </w:r>
    </w:p>
    <w:p>
      <w:pPr>
        <w:jc w:val="left"/>
      </w:pPr>
      <w:r>
        <w:t>Eine Vorlage zum EuGH nach Art. 267 AEUV erscheint hier nicht zielführend und verzögert das Verfahren erheblich. Kein deutsches Gericht ist Letztinstanzgericht im Sinne von Art. 267 Abs. 3 AEUV für die hier aufgeworfenen Fragen. LG Hannover als erste Instanz ist nicht vorlagepflichtig.</w:t>
      </w:r>
    </w:p>
    <w:p/>
    <w:p>
      <w:pPr>
        <w:pStyle w:val="Heading2"/>
      </w:pPr>
      <w:r>
        <w:rPr>
          <w:rFonts w:ascii="Times New Roman" w:hAnsi="Times New Roman"/>
        </w:rPr>
        <w:t>5. Fazit für die Verfahrensstrategie</w:t>
      </w:r>
    </w:p>
    <w:p>
      <w:pPr>
        <w:jc w:val="left"/>
      </w:pPr>
      <w:r>
        <w:t>Die EAA bietet zwei nützliche Argumente für die Verteidigung:</w:t>
      </w:r>
    </w:p>
    <w:p>
      <w:pPr>
        <w:pStyle w:val="ListNumber"/>
      </w:pPr>
      <w:r>
        <w:rPr>
          <w:b/>
        </w:rPr>
        <w:t>Vollharmonisierung:</w:t>
      </w:r>
      <w:r>
        <w:t xml:space="preserve"> BITV 2.0 als Maßstab für private Wirtschaftsakteure ist unionsrechtswidrig; nur EN 301 549 ist heranzuziehen.</w:t>
      </w:r>
    </w:p>
    <w:p>
      <w:pPr>
        <w:pStyle w:val="ListNumber"/>
      </w:pPr>
      <w:r>
        <w:rPr>
          <w:b/>
        </w:rPr>
        <w:t>Verhältnismäßigkeit:</w:t>
      </w:r>
      <w:r>
        <w:t xml:space="preserve"> Erwägungsgrund 76 EAA stützt die Forderung nach einem milden Bußgeld und einer Sanierungsfrist.</w:t>
      </w:r>
    </w:p>
    <w:p/>
    <w:p>
      <w:pPr>
        <w:jc w:val="left"/>
      </w:pPr>
      <w:r>
        <w:rPr>
          <w:i/>
        </w:rPr>
        <w:t>Quelle: RL EU 2019/882 (EUR-Lex 32019L0882); BFSG (dejure.org/gesetze/BFSG); EuGH C-14/83 Von Colson (Richtlinienkonforme Auslegung)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