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15 — Bußgeldverteidigung § 37 BFSG: Strategie und Bemessungsargumente</w:t>
      </w:r>
    </w:p>
    <w:p>
      <w:pPr>
        <w:jc w:val="left"/>
      </w:pPr>
      <w:r>
        <w:rPr>
          <w:b/>
        </w:rPr>
        <w:t>Bearbeitungsstand:</w:t>
      </w:r>
      <w:r>
        <w:t xml:space="preserve"> Mai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Bußgeldrahmen § 37 BFSG</w:t>
      </w:r>
    </w:p>
    <w:p>
      <w:pPr>
        <w:jc w:val="left"/>
      </w:pPr>
      <w:r>
        <w:t>§ 37 Abs. 1 BFSG: Ordnungswidrigkeit, Geldbuße bis 100.000 EUR für vorsätzliche oder fahrlässige Verstöße gegen die materiellen Barrierefreiheitsanforderungen (§ 14 BFSG).</w:t>
      </w:r>
    </w:p>
    <w:p>
      <w:pPr>
        <w:jc w:val="left"/>
      </w:pPr>
      <w:r>
        <w:t>§ 37 Abs. 2 BFSG: Verstöße gegen Verfahrenspflichten (Erklärung zur Barrierefreiheit § 19 BFSG-DV, Feedback-Mechanismus § 16 BFSG-DV): Geldbuße bis 50.000 EUR.</w:t>
      </w:r>
    </w:p>
    <w:p>
      <w:pPr>
        <w:jc w:val="left"/>
      </w:pPr>
      <w:r>
        <w:t>Kumulation: Mehrere Verstöße können kumulativ geahndet werden, jedoch gelten die allgemeinen Grundsätze des OWiG (Tateinheit, Tatmehrheit, Gesamtgeldbuße).</w:t>
      </w:r>
    </w:p>
    <w:p/>
    <w:p>
      <w:pPr>
        <w:pStyle w:val="Heading2"/>
      </w:pPr>
      <w:r>
        <w:rPr>
          <w:rFonts w:ascii="Times New Roman" w:hAnsi="Times New Roman"/>
        </w:rPr>
        <w:t>2. Bemessungsfaktoren § 17 OWiG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Faktor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Wirkung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 Tannenkamp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Schwere des Verstoßes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Erhöhend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Mehrere gleichzeitige Verstöße, aber kein totaler Shop-Ausfall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Dauer des Verstoßes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Erhöhend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9,5 Monate (28.06.2025–Meldung 12.03.2026)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Vorsatz vs. Fahrlässigkeit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Erhöhend bei Vorsatz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Fahrlässigkeit (keine Kenntnis BFSG-Details)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Wirtschaftliche Verhältnisse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Variabel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 Mio. EUR Umsatz; GF persönlich nicht haftbar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Vorteil aus Verstoß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Erhöhend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Einsparung WCAG-Conformance-Entwicklung ca. 35.000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Nachtatverhalten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Mindernd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Sofortige Kooperation, Audit, Sanierungsplan, Erklärung veröffentlicht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Vorstrafe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Mindernd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Erstverstoß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Verteidigungsargumente gegen Maximalbußgeld</w:t>
      </w:r>
    </w:p>
    <w:p>
      <w:pPr>
        <w:pStyle w:val="Heading3"/>
      </w:pPr>
      <w:r>
        <w:rPr>
          <w:rFonts w:ascii="Times New Roman" w:hAnsi="Times New Roman"/>
        </w:rPr>
        <w:t>3.1 Keine Vorsatz-Komponente</w:t>
      </w:r>
    </w:p>
    <w:p>
      <w:pPr>
        <w:jc w:val="left"/>
      </w:pPr>
      <w:r>
        <w:t>Tannenkamp hatte keine positive Kenntnis der konkreten WCAG-Verstöße bis zur VZ-NRW-Meldung. Das BFSG war 2021 in Kraft getreten, aber eine offizielle Konkretisierung für private Online-Shops durch staatliche Stellen fehlte. MüNI hat vor März 2026 keine Abmahnung oder Hinweis erteilt. Fahrlässigkeit ist anzunehmen, nicht Vorsatz (§ 10 OWiG).</w:t>
      </w:r>
    </w:p>
    <w:p>
      <w:pPr>
        <w:pStyle w:val="Heading3"/>
      </w:pPr>
      <w:r>
        <w:rPr>
          <w:rFonts w:ascii="Times New Roman" w:hAnsi="Times New Roman"/>
        </w:rPr>
        <w:t>3.2 Verantwortungsverschiebung: Lavendelhaus Design</w:t>
      </w:r>
    </w:p>
    <w:p>
      <w:pPr>
        <w:jc w:val="left"/>
      </w:pPr>
      <w:r>
        <w:t>Kernmängel (ARIA-Roles, Fokus-CSS, Skip-Link) sind im Theme verankert — Verantwortung liegt primär beim Theme-Entwickler. Tannenkamp als Laie durfte auf die Fachkompetenz des beauftragten IT-Dienstleisters vertrauen (§ 11 OWiG — Verbotsirrtum, zumindest bei Fahrlässigkeitsbemessung relevant).</w:t>
      </w:r>
    </w:p>
    <w:p>
      <w:pPr>
        <w:pStyle w:val="Heading3"/>
      </w:pPr>
      <w:r>
        <w:rPr>
          <w:rFonts w:ascii="Times New Roman" w:hAnsi="Times New Roman"/>
        </w:rPr>
        <w:t>3.3 Kooperationsbereitschaft und Selbst-Abhilfe</w:t>
      </w:r>
    </w:p>
    <w:p>
      <w:pPr>
        <w:jc w:val="left"/>
      </w:pPr>
      <w:r>
        <w:t>Mandantin hat unverzüglich nach Kenntniserlangung:</w:t>
      </w:r>
    </w:p>
    <w:p>
      <w:pPr>
        <w:pStyle w:val="ListBullet"/>
      </w:pPr>
      <w:r>
        <w:t>Vollständigen Audit beauftragt und Ergebnis offen gelegt</w:t>
      </w:r>
    </w:p>
    <w:p>
      <w:pPr>
        <w:pStyle w:val="ListBullet"/>
      </w:pPr>
      <w:r>
        <w:t>Erklärung zur Barrierefreiheit veröffentlicht</w:t>
      </w:r>
    </w:p>
    <w:p>
      <w:pPr>
        <w:pStyle w:val="ListBullet"/>
      </w:pPr>
      <w:r>
        <w:t>Feedback-Mechanismus eingerichtet</w:t>
      </w:r>
    </w:p>
    <w:p>
      <w:pPr>
        <w:pStyle w:val="ListBullet"/>
      </w:pPr>
      <w:r>
        <w:t>Detaillierten Sanierungsplan vorgelegt</w:t>
      </w:r>
    </w:p>
    <w:p>
      <w:pPr>
        <w:pStyle w:val="ListBullet"/>
      </w:pPr>
      <w:r>
        <w:t>Erste technische Fixes implementiert (Kontrast-CSS am 20.04.2026)</w:t>
      </w:r>
    </w:p>
    <w:p>
      <w:pPr>
        <w:jc w:val="left"/>
      </w:pPr>
      <w:r>
        <w:t>Dieses Nachtatverhalten ist nach § 17 Abs. 3 OWiG strafmindernd zu berücksichtigen.</w:t>
      </w:r>
    </w:p>
    <w:p>
      <w:pPr>
        <w:pStyle w:val="Heading3"/>
      </w:pPr>
      <w:r>
        <w:rPr>
          <w:rFonts w:ascii="Times New Roman" w:hAnsi="Times New Roman"/>
        </w:rPr>
        <w:t>3.4 Unverhältnismäßigkeit des Maximalrahmens</w:t>
      </w:r>
    </w:p>
    <w:p>
      <w:pPr>
        <w:jc w:val="left"/>
      </w:pPr>
      <w:r>
        <w:t>Das Maximalbußgeld von 100.000 EUR entspricht ca. 0,56% des Jahresumsatzes. Im Vergleich zu den Kosten der WCAG-Sanierung (ca. 35.000–80.000 EUR, vgl. Aktenstück 20) wäre das Maximalbußgeld ein weiteres äquivalentes Sanierungsprojekt. Die Praxis der Bußgeldbehörden zeigt, dass bei erstmaligen, fahrlässigen Verstößen mit sofortiger Abhilfe Bußgelder von 10–25% des Rahmens realistisch sind.</w:t>
      </w:r>
    </w:p>
    <w:p/>
    <w:p>
      <w:pPr>
        <w:pStyle w:val="Heading2"/>
      </w:pPr>
      <w:r>
        <w:rPr>
          <w:rFonts w:ascii="Times New Roman" w:hAnsi="Times New Roman"/>
        </w:rPr>
        <w:t>4. Realistisches Verhandlungsziel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Bußgeld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Bedingung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Optimistisch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8.000–12.000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MüNI akzeptiert Sanierungsplan; Erstverstoß; Fahrlässigkeit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Realistisch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15.000–22.000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Standardfall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Pessimistisch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35.000–50.000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MüNI wertet als systematischen Verstoß; Tatmehrheit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Worst Case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75.000–100.000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Untersagungsverfügung + Bußgeld; nur bei Nichtkooperation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Vorgehen</w:t>
      </w:r>
    </w:p>
    <w:p>
      <w:pPr>
        <w:jc w:val="left"/>
      </w:pPr>
      <w:r>
        <w:t>Schriftlicher Antrag an MüNI auf Anwendung des Mindestmaßes gemäß § 17 Abs. 3 OWiG, verbunden mit Nachweis: Sanierungsfortschritt bis 31.07.2026 (Meilenstein 1: Kontrast, Fokus, Skip-Link) als Anlage zur Stellungnahme. Bei Bußgeldbescheid: Einspruch innerhalb der Frist (§ 67 OWiG: zwei Wochen); Antrag auf mündliche Verhandlung vor dem AG.</w:t>
      </w:r>
    </w:p>
    <w:p/>
    <w:p>
      <w:pPr>
        <w:jc w:val="left"/>
      </w:pPr>
      <w:r>
        <w:rPr>
          <w:i/>
        </w:rPr>
        <w:t>Quelle: BFSG § 37 (dejure.org/gesetze/BFSG/37.html); OWiG §§ 10, 11, 17 (dejure.org/gesetze/OWiG); BFSG-DV §§ 16, 19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