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17 — Selbstüberwachung nach DIN ISO 30071-1</w:t>
      </w:r>
    </w:p>
    <w:p>
      <w:pPr>
        <w:jc w:val="left"/>
      </w:pPr>
      <w:r>
        <w:rPr>
          <w:b/>
        </w:rPr>
        <w:t>Bearbeitungsstand:</w:t>
      </w:r>
      <w:r>
        <w:t xml:space="preserve"> Mai 2026</w:t>
      </w:r>
    </w:p>
    <w:p>
      <w:pPr>
        <w:jc w:val="left"/>
      </w:pPr>
      <w:r>
        <w:rPr>
          <w:b/>
        </w:rPr>
        <w:t>Bearb.:</w:t>
      </w:r>
      <w:r>
        <w:t xml:space="preserve"> Dr. A. Friedrichs / IT-Leiter Wörmann</w:t>
      </w:r>
    </w:p>
    <w:p/>
    <w:p>
      <w:pPr>
        <w:pStyle w:val="Heading2"/>
      </w:pPr>
      <w:r>
        <w:rPr>
          <w:rFonts w:ascii="Times New Roman" w:hAnsi="Times New Roman"/>
        </w:rPr>
        <w:t>1. Ausgangslage und Regulierungsrahmen</w:t>
      </w:r>
    </w:p>
    <w:p>
      <w:pPr>
        <w:jc w:val="left"/>
      </w:pPr>
      <w:r>
        <w:t>§ 17 BFSG-DV sieht vor, dass Dienstleistungserbringer interne Verfahren zur Selbstüberwachung der Barrierefreiheit einrichten sollen. Für Online-Dienste empfiehlt die BFSG-DV-Begründung die Orientierung an ISO 30071-1:2019 (Information technology — Development of user interface accessibility — Part 1: Code of practice for creating accessible ICT products and services).</w:t>
      </w:r>
    </w:p>
    <w:p/>
    <w:p>
      <w:pPr>
        <w:pStyle w:val="Heading2"/>
      </w:pPr>
      <w:r>
        <w:rPr>
          <w:rFonts w:ascii="Times New Roman" w:hAnsi="Times New Roman"/>
        </w:rPr>
        <w:t>2. DIN ISO 30071-1 — Grundstruktur</w:t>
      </w:r>
    </w:p>
    <w:p>
      <w:pPr>
        <w:jc w:val="left"/>
      </w:pPr>
      <w:r>
        <w:t>DIN ISO 30071-1 ist ein Verhaltenskodex für Organisationen, der Barrierefreiheit als integralen Bestandteil des Entwicklungs- und Beschaffungsprozesses verankert. Die Norm gliedert sich in:</w:t>
      </w:r>
    </w:p>
    <w:p>
      <w:pPr>
        <w:pStyle w:val="ListBullet"/>
      </w:pPr>
      <w:r>
        <w:rPr>
          <w:b/>
        </w:rPr>
        <w:t>Abschnitt 4:</w:t>
      </w:r>
      <w:r>
        <w:t xml:space="preserve"> Planung — Barrierefreiheitsziele und Ressourcenplanung</w:t>
      </w:r>
    </w:p>
    <w:p>
      <w:pPr>
        <w:pStyle w:val="ListBullet"/>
      </w:pPr>
      <w:r>
        <w:rPr>
          <w:b/>
        </w:rPr>
        <w:t>Abschnitt 5:</w:t>
      </w:r>
      <w:r>
        <w:t xml:space="preserve"> Designprozess — WCAG als Mindeststandard, Nutzertests mit behinderten Anwendern</w:t>
      </w:r>
    </w:p>
    <w:p>
      <w:pPr>
        <w:pStyle w:val="ListBullet"/>
      </w:pPr>
      <w:r>
        <w:rPr>
          <w:b/>
        </w:rPr>
        <w:t>Abschnitt 6:</w:t>
      </w:r>
      <w:r>
        <w:t xml:space="preserve"> Entwicklung — Entwicklungsstandards, Code-Reviews</w:t>
      </w:r>
    </w:p>
    <w:p>
      <w:pPr>
        <w:pStyle w:val="ListBullet"/>
      </w:pPr>
      <w:r>
        <w:rPr>
          <w:b/>
        </w:rPr>
        <w:t>Abschnitt 7:</w:t>
      </w:r>
      <w:r>
        <w:t xml:space="preserve"> Test — Automatisierte und manuelle Tests, Regressionstests</w:t>
      </w:r>
    </w:p>
    <w:p>
      <w:pPr>
        <w:pStyle w:val="ListBullet"/>
      </w:pPr>
      <w:r>
        <w:rPr>
          <w:b/>
        </w:rPr>
        <w:t>Abschnitt 8:</w:t>
      </w:r>
      <w:r>
        <w:t xml:space="preserve"> Beschaffung — Anforderungen an Drittprodukte (Themes, Plugins)</w:t>
      </w:r>
    </w:p>
    <w:p>
      <w:pPr>
        <w:pStyle w:val="ListBullet"/>
      </w:pPr>
      <w:r>
        <w:rPr>
          <w:b/>
        </w:rPr>
        <w:t>Abschnitt 9:</w:t>
      </w:r>
      <w:r>
        <w:t xml:space="preserve"> Betrieb — Monitoring, Feedbackverarbeitung, Schulung</w:t>
      </w:r>
    </w:p>
    <w:p/>
    <w:p>
      <w:pPr>
        <w:pStyle w:val="Heading2"/>
      </w:pPr>
      <w:r>
        <w:rPr>
          <w:rFonts w:ascii="Times New Roman" w:hAnsi="Times New Roman"/>
        </w:rPr>
        <w:t>3. Defizite bei Tannenkamp (Ist-Zustand)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DIN ISO 30071-1 Abschnitt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 Tannenkamp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 — Planung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Barrierefreiheitsziele definiert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vorhanden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— Design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WCAG als Mindeststandard im Design-Briefing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vereinbart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— Entwicklung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Code-Review auf WCAG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vorhanden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 — Test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Automatisierter WCAG-Test in CI/CD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vorhanden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 — Beschaffung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Barrierefreiheitsanforderungen in Lieferantenverträgen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im Lavendelhaus-Vertrag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 — Betrieb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Regelmäßige Audits (mind. jährlich)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vorhanden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Empfehlungen für ein BFSG-konformes Selbstüberwachungssystem</w:t>
      </w:r>
    </w:p>
    <w:p>
      <w:pPr>
        <w:pStyle w:val="Heading3"/>
      </w:pPr>
      <w:r>
        <w:rPr>
          <w:rFonts w:ascii="Times New Roman" w:hAnsi="Times New Roman"/>
        </w:rPr>
        <w:t>4.1 Internes Barrierefreiheits-Audit-Programm</w:t>
      </w:r>
    </w:p>
    <w:p>
      <w:pPr>
        <w:jc w:val="left"/>
      </w:pPr>
      <w:r>
        <w:t>Jährlicher Audit durch externen Dienstleister (AccessCheck GmbH oder gleichwertig). Automatisierter Scan (axe DevTools, Lighthouse) monatlich durch IT-Leiter Wörmann. Ergebnisse in Ticket-System (Jira) dokumentieren.</w:t>
      </w:r>
    </w:p>
    <w:p>
      <w:pPr>
        <w:pStyle w:val="Heading3"/>
      </w:pPr>
      <w:r>
        <w:rPr>
          <w:rFonts w:ascii="Times New Roman" w:hAnsi="Times New Roman"/>
        </w:rPr>
        <w:t>4.2 Barrierefreiheit in Entwicklungs-Pipeline</w:t>
      </w:r>
    </w:p>
    <w:p>
      <w:pPr>
        <w:jc w:val="left"/>
      </w:pPr>
      <w:r>
        <w:t>Bei allen künftigen Shopify-Theme-Anpassungen: Vorab-WCAG-Check durch Lavendelhaus Design als Vertragspflicht (Vertragsanpassung erforderlich). Einbau automatisierter WCAG-Tests in die Shopify-Staging-Umgebung vor Go-Live.</w:t>
      </w:r>
    </w:p>
    <w:p>
      <w:pPr>
        <w:pStyle w:val="Heading3"/>
      </w:pPr>
      <w:r>
        <w:rPr>
          <w:rFonts w:ascii="Times New Roman" w:hAnsi="Times New Roman"/>
        </w:rPr>
        <w:t>4.3 Anforderungen an Lieferantenverträge</w:t>
      </w:r>
    </w:p>
    <w:p>
      <w:pPr>
        <w:jc w:val="left"/>
      </w:pPr>
      <w:r>
        <w:t>Künftige IT-Dienstleisterverträge müssen enthalten: explizite WCAG 2.1 AA-Konformitätszusage, Garantie für barrierefreie Auslieferung, Nachbesserungspflicht ohne Mehrkosten bei WCAG-Verstoß, VPAT (Voluntary Product Accessibility Template) bei Auslieferung.</w:t>
      </w:r>
    </w:p>
    <w:p>
      <w:pPr>
        <w:pStyle w:val="Heading3"/>
      </w:pPr>
      <w:r>
        <w:rPr>
          <w:rFonts w:ascii="Times New Roman" w:hAnsi="Times New Roman"/>
        </w:rPr>
        <w:t>4.4 Monitoring und 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KPI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Messmethode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Ziel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Anzahl WCAG-Fehler (automatisiert)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axe-Scan monatlich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Null kritische Fehler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Kontrastprobleme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Lighthouse CI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Fehlende Alt-Texte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Shopify-API-Report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Null neue Bilder ohne Alt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Feedback-Eingänge Barrierefreiheit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E-Mail-Zählung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Bearbeitungsrate 100%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Audit-Abdeckung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Jährlicher Bericht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100% aller Seitenkategorien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Konsequenz für Verfahren</w:t>
      </w:r>
    </w:p>
    <w:p>
      <w:pPr>
        <w:jc w:val="left"/>
      </w:pPr>
      <w:r>
        <w:t>Der Aufbau eines DIN ISO 30071-1-konformen Selbstüberwachungssystems ist kein gesetzliches Muss im Sinne einer sanktionsbewehrten Pflicht. Er ist jedoch der beste Beweis gegenüber MüNI und LG Hannover, dass Tannenkamp Mode-Versand BFSG-Compliance dauerhaft sicherstellt. Für die Klageerwiderung und die Einigung mit der VZ NRW ist die Einrichtung dieses Systems als Verpflichtung zuzusagen.</w:t>
      </w:r>
    </w:p>
    <w:p/>
    <w:p>
      <w:pPr>
        <w:jc w:val="left"/>
      </w:pPr>
      <w:r>
        <w:rPr>
          <w:i/>
        </w:rPr>
        <w:t>Quelle: BFSG-DV § 17; DIN ISO 30071-1:2019 (Beuth-Verlag)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