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Chronologie: Marktüberwachung und Einigungsperspektive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Vollständige 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16.07.2021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BFSG im Bundesgesetzblatt verkündet (BGBl. I S. 2970)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Gesetzgebung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01.01.2022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BFSG-DV in Kraft getreten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Gesetzgebung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Vertragsabschluss Tannenkamp / Lavendelhaus Design (Theme „Lavanda Pro")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BFSG vollständig anwendbar für E-Commerce-Dienstleister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Stichtag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PDF-Katalog H/W 2025 veröffentlicht (ohne PDF/UA)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Verstoß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VZ NRW: Verstoßmeldung § 33 BFSG + Klage LG Hannover 18 OH 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MüNI leitet Verfahren ein, Az. MüNI-BFSG-2026/0188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Tannenkamp / Dr. Friedrichs; Mandatserteilung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WCAG-Audit-Auftrag an AccessCheck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Sachverhaltsaufklärung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MüNI-Anhörungsschreiben zugestellt; Frist 06.04.2026 (verlängert)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Screenreader-Audit AccessCheck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Sachverhaltsaufklärung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WCAG-Auditbericht AccessCheck GmbH liegt vor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Sachverhaltsaufklärung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Dr. Friedrichs an MüNI; Erklärung zur Barrierefreiheit online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Feedback-Mechanismus (E-Mail) eingerichtet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Regressforderungsschreiben an Lavendelhaus Design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Tannenkamp-GF fragt nach Kostenrahmen; Kostenmemo Dr. Friedrichs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Mandatspflege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Fokus-CSS und Skip-Link implementiert (Phase 1-01/02)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Lavendelhaus Design verweigert 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Kontrast-Anpassung Fließtext/Navigation implementiert (Phase 1-03/04)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Ergänzende Stellungnahme Dr. Friedrichs an MüNI (Audit + Roadmap)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Klageerwiderung LG Hannover (mit Fristverlängerungsantrag)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Offene Fristen (Stand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LG Hannover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 (Aktenstück 21)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MüNI-Bescheid erwartet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1 Sanierung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Läuft plangemäß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2 Sanierung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3 (Abschluss-Audit)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Lavendelhaus Design — Schlichtungsfrist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Einigungsperspektive</w:t>
      </w:r>
    </w:p>
    <w:p>
      <w:pPr>
        <w:pStyle w:val="Heading3"/>
      </w:pPr>
      <w:r>
        <w:rPr>
          <w:rFonts w:ascii="Times New Roman" w:hAnsi="Times New Roman"/>
        </w:rPr>
        <w:t>3.1 MüNI-Verfahren</w:t>
      </w:r>
    </w:p>
    <w:p>
      <w:pPr>
        <w:jc w:val="left"/>
      </w:pPr>
      <w:r>
        <w:t>Prognose: MüNI wird nach Vorlage des Sanierungsfortschritts (Phase 1 abgeschlossen bis 30.06.2026) einen Abhilfebescheid erteilen. Bußgeldbescheid im Rahmen 12.000–22.000 EUR bei kooperativem Verhalten.</w:t>
      </w:r>
    </w:p>
    <w:p>
      <w:pPr>
        <w:jc w:val="left"/>
      </w:pPr>
      <w:r>
        <w:t>Einigungsszenario: Bußgeld 15.000 EUR + Abhilfeverfügung mit Frist 30.09.2026 + Verpflichtung zur jährlichen Selbstprüfung. Kein Untersagungsbefehl.</w:t>
      </w:r>
    </w:p>
    <w:p>
      <w:pPr>
        <w:pStyle w:val="Heading3"/>
      </w:pPr>
      <w:r>
        <w:rPr>
          <w:rFonts w:ascii="Times New Roman" w:hAnsi="Times New Roman"/>
        </w:rPr>
        <w:t>3.2 LG Hannover — VZ NRW</w:t>
      </w:r>
    </w:p>
    <w:p>
      <w:pPr>
        <w:jc w:val="left"/>
      </w:pPr>
      <w:r>
        <w:t>Vergleichslösung angestrebt. Tannenkamp verpflichtet sich zu WCAG-Konformität bis 30.09.2026, strafbewehrt (5.000 EUR pro nachgewiesenem Verstoß). VZ NRW verzichtet auf Unterlassungsurteil; Kosten werden geteilt.</w:t>
      </w:r>
    </w:p>
    <w:p>
      <w:pPr>
        <w:jc w:val="left"/>
      </w:pPr>
      <w:r>
        <w:t>Wenn kein Vergleich: Klageerwiderung mit Fristvorbehalt. LG Hannover wird voraussichtlich keine Sofortvollstreckung anordnen bei laufendem Sanierungsprozess.</w:t>
      </w:r>
    </w:p>
    <w:p>
      <w:pPr>
        <w:pStyle w:val="Heading3"/>
      </w:pPr>
      <w:r>
        <w:rPr>
          <w:rFonts w:ascii="Times New Roman" w:hAnsi="Times New Roman"/>
        </w:rPr>
        <w:t>3.3 Regress Lavendelhaus</w:t>
      </w:r>
    </w:p>
    <w:p>
      <w:pPr>
        <w:jc w:val="left"/>
      </w:pPr>
      <w:r>
        <w:t>Schlichtungsangebot: Lavendelhaus zahlt 8.000 EUR, Tannenkamp verzichtet auf weitere Ansprüche. Alternativ: Klage LG Münster. Aussicht auf Erfolg: 60–70% bei Nachweis der Theme-seitigen Ursachen.</w:t>
      </w:r>
    </w:p>
    <w:p/>
    <w:p>
      <w:pPr>
        <w:jc w:val="left"/>
      </w:pPr>
      <w:r>
        <w:rPr>
          <w:i/>
        </w:rPr>
        <w:t>Bearb.: Dr. A. Friedrichs —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