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20 — Kostenkalkulation BFSG-Compliance-Investition</w:t>
      </w:r>
    </w:p>
    <w:p>
      <w:pPr>
        <w:jc w:val="left"/>
      </w:pPr>
      <w:r>
        <w:rPr>
          <w:b/>
        </w:rPr>
        <w:t>Bearbeitungsstand:</w:t>
      </w:r>
      <w:r>
        <w:t xml:space="preserve"> Mai 2026</w:t>
      </w:r>
    </w:p>
    <w:p>
      <w:pPr>
        <w:jc w:val="left"/>
      </w:pPr>
      <w:r>
        <w:rPr>
          <w:b/>
        </w:rPr>
        <w:t>Bearb.:</w:t>
      </w:r>
      <w:r>
        <w:t xml:space="preserve"> Dr. A. Friedrichs / Marion Hüsing (kaufm. Leitung)</w:t>
      </w:r>
    </w:p>
    <w:p/>
    <w:p>
      <w:pPr>
        <w:pStyle w:val="Heading2"/>
      </w:pPr>
      <w:r>
        <w:rPr>
          <w:rFonts w:ascii="Times New Roman" w:hAnsi="Times New Roman"/>
        </w:rPr>
        <w:t>1. Überblick Gesamtkosten</w:t>
      </w:r>
    </w:p>
    <w:p>
      <w:pPr>
        <w:jc w:val="left"/>
      </w:pPr>
      <w:r>
        <w:t>Mandantin benötigt eine belastbare Kostenschätzung für:</w:t>
      </w:r>
    </w:p>
    <w:p>
      <w:pPr>
        <w:pStyle w:val="ListBullet"/>
      </w:pPr>
      <w:r>
        <w:t>Rechtliche Verfahrenskosten</w:t>
      </w:r>
    </w:p>
    <w:p>
      <w:pPr>
        <w:pStyle w:val="ListBullet"/>
      </w:pPr>
      <w:r>
        <w:t>Technische Sanierungskosten</w:t>
      </w:r>
    </w:p>
    <w:p>
      <w:pPr>
        <w:pStyle w:val="ListBullet"/>
      </w:pPr>
      <w:r>
        <w:t>Bußgeldrisiko</w:t>
      </w:r>
    </w:p>
    <w:p>
      <w:pPr>
        <w:pStyle w:val="ListBullet"/>
      </w:pPr>
      <w:r>
        <w:t>Laufende Compliance-Kosten</w:t>
      </w:r>
    </w:p>
    <w:p/>
    <w:p>
      <w:pPr>
        <w:pStyle w:val="Heading2"/>
      </w:pPr>
      <w:r>
        <w:rPr>
          <w:rFonts w:ascii="Times New Roman" w:hAnsi="Times New Roman"/>
        </w:rPr>
        <w:t>2. Rechtliche Verfahrenskosten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Kosten (netto)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Anwaltsgebühren Dr. Friedrichs — MüNI-Verfahren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6.500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Anwaltsgebühren — Klageerwiderung LG Hannover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4.500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Anwaltsgebühren — Regress Lavendelhaus Design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2.800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Anwaltsgebühren — laufende Beratung BFSG-Compliance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3.500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Gerichtskosten LG Hannover (Vergleich)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1.200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 Rechtliche 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18.500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Technische Sanierungskosten (Remediation)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Kosten (netto)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WCAG-Audit AccessCheck GmbH (Erstaudit)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Phase 1 — Sofortmaßnahmen (intern, 13 h)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845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Phase 2 — ARIA/Theme-Korrekturen Lavendelhaus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5.400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Phase 2 — Alt-Texte 2.317 Bilder (extern, KI-gestützt)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3.200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Phase 2 — Interne Entwicklung 84 h × 65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5.460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Phase 2 — PDF/UA H/W 2025 (Dienstleister)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Phase 3 — Re-Audit AccessCheck GmbH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Shopify-Konfigurationsanpassungen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 Sanierung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32.505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Schulungskosten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Kosten (netto)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AccessCheck GmbH — Schulung 1 Tag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E-Learning-Modul-Entwicklung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1.800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Interne Koordination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520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 Schulung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4.720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Bußgeldrisiko (Szenariobewertung)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Bußgeld MüNI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Optimistisch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Realistisch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55%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Pessimistisch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Worst Case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80.000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Erwartungswert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22.600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Laufende Compliance-Kosten ab 2027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Jahreskosten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Jährlicher externer WCAG-Audit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Monatlicher automatisierter Scan (Tool-Lizenz)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600 EUR p.a.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Schulungs-Update jährlich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1.200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Anwaltliche Dauerberatung (halbtägig/Jahr)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1.300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 laufend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7.600 EUR/Jahr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7. Gesamtbetrachtung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Kategorie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Kosten (netto)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Rechtliche Kosten (einmalig)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 (einmalig)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32.505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Schulung (einmalig)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4.720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Bußgeld (Erwartungswert)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22.600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Gesamtaufwand einmalig (Erwartungswert)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78.325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Laufende Kosten ab 2027 p.a.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7.600 EUR</w:t>
            </w:r>
          </w:p>
        </w:tc>
      </w:tr>
    </w:tbl>
    <w:p>
      <w:pPr>
        <w:jc w:val="left"/>
      </w:pPr>
      <w:r>
        <w:t>Zum Vergleich: Das Maximalbußgeld (100.000 EUR) liegt über den gesamten Sanierungskosten. Selbst bei mittlerem Bußgeld (18.000 EUR) übersteigen die Gesamtkosten die Bußgeldhöhe deutlich — der eigentliche wirtschaftliche Schaden entsteht durch die Sanierungsnotwendigkeit und Rechtskosten, nicht primär durch das Bußgeld.</w:t>
      </w:r>
    </w:p>
    <w:p>
      <w:pPr>
        <w:jc w:val="left"/>
      </w:pPr>
      <w:r>
        <w:rPr>
          <w:b/>
        </w:rPr>
        <w:t>Investitionsalternative:</w:t>
      </w:r>
      <w:r>
        <w:t xml:space="preserve"> Eine proaktive WCAG-Sanierung ohne Verfahren hätte ca. 25.000–35.000 EUR gekostet. Mit Verfahren und Bußgeld werden es voraussichtlich ca. 75.000–85.000 EUR. Der „Verzugsschaden" der Nicht-Compliance beläuft sich auf ca. 40.000–50.000 EUR.</w:t>
      </w:r>
    </w:p>
    <w:p/>
    <w:p>
      <w:pPr>
        <w:jc w:val="left"/>
      </w:pPr>
      <w:r>
        <w:rPr>
          <w:i/>
        </w:rPr>
        <w:t>Bearb.: Dr. A. Friedrichs / Marion Hüsing — Mai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