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21 — Verbandsklage: Klageerwiderung LG Hannover — Vorbereitung</w:t>
      </w:r>
    </w:p>
    <w:p>
      <w:pPr>
        <w:jc w:val="left"/>
      </w:pPr>
      <w:r>
        <w:rPr>
          <w:b/>
        </w:rPr>
        <w:t>Bearbeitungsstand:</w:t>
      </w:r>
      <w:r>
        <w:t xml:space="preserve"> Mai 2026</w:t>
      </w:r>
    </w:p>
    <w:p>
      <w:pPr>
        <w:jc w:val="left"/>
      </w:pPr>
      <w:r>
        <w:rPr>
          <w:b/>
        </w:rPr>
        <w:t>Bearb.:</w:t>
      </w:r>
      <w:r>
        <w:t xml:space="preserve"> Dr. A. Friedrichs</w:t>
      </w:r>
    </w:p>
    <w:p/>
    <w:p>
      <w:pPr>
        <w:pStyle w:val="Heading2"/>
      </w:pPr>
      <w:r>
        <w:rPr>
          <w:rFonts w:ascii="Times New Roman" w:hAnsi="Times New Roman"/>
        </w:rPr>
        <w:t>1. Prozessziel und Strategie</w:t>
      </w:r>
    </w:p>
    <w:p>
      <w:pPr>
        <w:jc w:val="left"/>
      </w:pPr>
      <w:r>
        <w:t>Das Primärziel ist eine gerichtliche Einigung vor Erlass eines streitigen Urteils. Ein Urteil des LG Hannover mit einem Unterlassungsgebot würde die Verhandlungsposition gegenüber MüNI schwächen und öffentlich dokumentiert. Die Vergleichslösung ist vorzuziehen.</w:t>
      </w:r>
    </w:p>
    <w:p>
      <w:pPr>
        <w:jc w:val="left"/>
      </w:pPr>
      <w:r>
        <w:t>Prozessuale Strategie: Klageerwiderung als Verhandlungsgrundlage für Vergleich konzipieren, nicht als reine Verteidigung.</w:t>
      </w:r>
    </w:p>
    <w:p/>
    <w:p>
      <w:pPr>
        <w:pStyle w:val="Heading2"/>
      </w:pPr>
      <w:r>
        <w:rPr>
          <w:rFonts w:ascii="Times New Roman" w:hAnsi="Times New Roman"/>
        </w:rPr>
        <w:t>2. Klageerwiderung — Gliederungsentwurf</w:t>
      </w:r>
    </w:p>
    <w:p>
      <w:pPr>
        <w:pStyle w:val="Heading3"/>
      </w:pPr>
      <w:r>
        <w:rPr>
          <w:rFonts w:ascii="Times New Roman" w:hAnsi="Times New Roman"/>
        </w:rPr>
        <w:t>I. Anträge</w:t>
      </w:r>
    </w:p>
    <w:p>
      <w:pPr>
        <w:jc w:val="left"/>
      </w:pPr>
      <w:r>
        <w:t>Wir beantragen:</w:t>
      </w:r>
    </w:p>
    <w:p>
      <w:pPr>
        <w:pStyle w:val="ListNumber"/>
      </w:pPr>
      <w:r>
        <w:t>Die Klage wird abgewiesen.</w:t>
      </w:r>
    </w:p>
    <w:p>
      <w:pPr>
        <w:pStyle w:val="ListNumber"/>
      </w:pPr>
      <w:r>
        <w:t>Hilfsweise: Der Beklagten wird eine Frist bis zum 30.09.2026 zur Herstellung des WCAG 2.1 AA-konformen Zustands gesetzt.</w:t>
      </w:r>
    </w:p>
    <w:p>
      <w:pPr>
        <w:pStyle w:val="ListNumber"/>
      </w:pPr>
      <w:r>
        <w:t>Die Kosten des Rechtsstreits trägt die Klägerin.</w:t>
      </w:r>
    </w:p>
    <w:p>
      <w:pPr>
        <w:pStyle w:val="ListNumber"/>
      </w:pPr>
      <w:r>
        <w:t>Das Urteil ist vorläufig vollstreckbar gegen Sicherheitsleistung in Höhe von 110% des vollstreckbaren Betrags.</w:t>
      </w:r>
    </w:p>
    <w:p>
      <w:pPr>
        <w:pStyle w:val="Heading3"/>
      </w:pPr>
      <w:r>
        <w:rPr>
          <w:rFonts w:ascii="Times New Roman" w:hAnsi="Times New Roman"/>
        </w:rPr>
        <w:t>II. Sachverhalt (aus Beklagten-Sicht)</w:t>
      </w:r>
    </w:p>
    <w:p>
      <w:pPr>
        <w:jc w:val="left"/>
      </w:pPr>
      <w:r>
        <w:t>Mandantin hat den Online-Shop seit 2018 betrieben und 2022 auf das professionell entwickelte Shopify-Theme „Lavanda Pro" umgestellt. Das BFSG trat erst am 28.06.2025 in Kraft. Mandantin hat nach Erhalt der Verstoßmeldung vom 12.03.2026 unverzüglich gehandelt.</w:t>
      </w:r>
    </w:p>
    <w:p>
      <w:pPr>
        <w:pStyle w:val="Heading3"/>
      </w:pPr>
      <w:r>
        <w:rPr>
          <w:rFonts w:ascii="Times New Roman" w:hAnsi="Times New Roman"/>
        </w:rPr>
        <w:t>III. Zulässigkeit</w:t>
      </w:r>
    </w:p>
    <w:p>
      <w:pPr>
        <w:jc w:val="left"/>
      </w:pPr>
      <w:r>
        <w:t>Zu bestreiten: Klagebefugnis VZ NRW im Bereich BFSG — BFSG ist primär öffentliches Recht; VRUG-Anwendbarkeit auf BFSG als Marktverhaltensregel ist streitig. (Strategisch: Zulässigkeit bestreiten, aber zugleich Vergleich anbieten.)</w:t>
      </w:r>
    </w:p>
    <w:p>
      <w:pPr>
        <w:pStyle w:val="Heading3"/>
      </w:pPr>
      <w:r>
        <w:rPr>
          <w:rFonts w:ascii="Times New Roman" w:hAnsi="Times New Roman"/>
        </w:rPr>
        <w:t>IV. Begründetheit</w:t>
      </w:r>
    </w:p>
    <w:p>
      <w:pPr>
        <w:jc w:val="left"/>
      </w:pPr>
      <w:r>
        <w:rPr>
          <w:b/>
        </w:rPr>
        <w:t>Zu Unterlassung:</w:t>
      </w:r>
      <w:r>
        <w:t xml:space="preserve"> Wiederholungsgefahr ist durch die freiwillig eingegangene Selbstverpflichtung (Erklärung zur Barrierefreiheit + Remediation-Roadmap) ausgeräumt. Vorlage Remediation-Roadmap als Anlage.</w:t>
      </w:r>
    </w:p>
    <w:p>
      <w:pPr>
        <w:jc w:val="left"/>
      </w:pPr>
      <w:r>
        <w:rPr>
          <w:b/>
        </w:rPr>
        <w:t>Zu Beseitigungsfrist:</w:t>
      </w:r>
      <w:r>
        <w:t xml:space="preserve"> Sechs-Wochen-Frist ist bei einer komplexen E-Commerce-Plattform mit 2.317 betroffenen Produktbildern und systemischen Theme-Änderungen schlechterdings unzumutbar. Wir beantragen Fristverlängerung auf 30.09.2026.</w:t>
      </w:r>
    </w:p>
    <w:p>
      <w:pPr>
        <w:jc w:val="left"/>
      </w:pPr>
      <w:r>
        <w:rPr>
          <w:b/>
        </w:rPr>
        <w:t>Zu Kosten:</w:t>
      </w:r>
      <w:r>
        <w:t xml:space="preserve"> Bei Einigung vor Urteil: Kostenaufhebung.</w:t>
      </w:r>
    </w:p>
    <w:p/>
    <w:p>
      <w:pPr>
        <w:pStyle w:val="Heading2"/>
      </w:pPr>
      <w:r>
        <w:rPr>
          <w:rFonts w:ascii="Times New Roman" w:hAnsi="Times New Roman"/>
        </w:rPr>
        <w:t>3. Beweismittel-Übersicht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w:t>
            </w:r>
          </w:p>
        </w:tc>
        <w:tc>
          <w:tcPr>
            <w:tcW w:type="dxa" w:w="3024"/>
          </w:tcPr>
          <w:p>
            <w:r>
              <w:rPr>
                <w:rFonts w:ascii="Times New Roman" w:hAnsi="Times New Roman"/>
                <w:b/>
                <w:sz w:val="20"/>
              </w:rPr>
              <w:t>Inhalt</w:t>
            </w:r>
          </w:p>
        </w:tc>
        <w:tc>
          <w:tcPr>
            <w:tcW w:type="dxa" w:w="3024"/>
          </w:tcPr>
          <w:p>
            <w:r>
              <w:rPr>
                <w:rFonts w:ascii="Times New Roman" w:hAnsi="Times New Roman"/>
                <w:b/>
                <w:sz w:val="20"/>
              </w:rPr>
              <w:t>Anlage</w:t>
            </w:r>
          </w:p>
        </w:tc>
      </w:tr>
      <w:tr>
        <w:tc>
          <w:tcPr>
            <w:tcW w:type="dxa" w:w="3024"/>
          </w:tcPr>
          <w:p>
            <w:r>
              <w:rPr>
                <w:rFonts w:ascii="Times New Roman" w:hAnsi="Times New Roman"/>
                <w:sz w:val="20"/>
              </w:rPr>
              <w:t>WCAG-Auditbericht AccessCheck GmbH</w:t>
            </w:r>
          </w:p>
        </w:tc>
        <w:tc>
          <w:tcPr>
            <w:tcW w:type="dxa" w:w="3024"/>
          </w:tcPr>
          <w:p>
            <w:r>
              <w:rPr>
                <w:rFonts w:ascii="Times New Roman" w:hAnsi="Times New Roman"/>
                <w:sz w:val="20"/>
              </w:rPr>
              <w:t>Technische Befunde</w:t>
            </w:r>
          </w:p>
        </w:tc>
        <w:tc>
          <w:tcPr>
            <w:tcW w:type="dxa" w:w="3024"/>
          </w:tcPr>
          <w:p>
            <w:r>
              <w:rPr>
                <w:rFonts w:ascii="Times New Roman" w:hAnsi="Times New Roman"/>
                <w:sz w:val="20"/>
              </w:rPr>
              <w:t>B-1</w:t>
            </w:r>
          </w:p>
        </w:tc>
      </w:tr>
      <w:tr>
        <w:tc>
          <w:tcPr>
            <w:tcW w:type="dxa" w:w="3024"/>
          </w:tcPr>
          <w:p>
            <w:r>
              <w:rPr>
                <w:rFonts w:ascii="Times New Roman" w:hAnsi="Times New Roman"/>
                <w:sz w:val="20"/>
              </w:rPr>
              <w:t>Remediation-Roadmap</w:t>
            </w:r>
          </w:p>
        </w:tc>
        <w:tc>
          <w:tcPr>
            <w:tcW w:type="dxa" w:w="3024"/>
          </w:tcPr>
          <w:p>
            <w:r>
              <w:rPr>
                <w:rFonts w:ascii="Times New Roman" w:hAnsi="Times New Roman"/>
                <w:sz w:val="20"/>
              </w:rPr>
              <w:t>Sanierungsplan mit Zeitplan</w:t>
            </w:r>
          </w:p>
        </w:tc>
        <w:tc>
          <w:tcPr>
            <w:tcW w:type="dxa" w:w="3024"/>
          </w:tcPr>
          <w:p>
            <w:r>
              <w:rPr>
                <w:rFonts w:ascii="Times New Roman" w:hAnsi="Times New Roman"/>
                <w:sz w:val="20"/>
              </w:rPr>
              <w:t>B-2</w:t>
            </w:r>
          </w:p>
        </w:tc>
      </w:tr>
      <w:tr>
        <w:tc>
          <w:tcPr>
            <w:tcW w:type="dxa" w:w="3024"/>
          </w:tcPr>
          <w:p>
            <w:r>
              <w:rPr>
                <w:rFonts w:ascii="Times New Roman" w:hAnsi="Times New Roman"/>
                <w:sz w:val="20"/>
              </w:rPr>
              <w:t>Implementierungsnachweise Phase 1</w:t>
            </w:r>
          </w:p>
        </w:tc>
        <w:tc>
          <w:tcPr>
            <w:tcW w:type="dxa" w:w="3024"/>
          </w:tcPr>
          <w:p>
            <w:r>
              <w:rPr>
                <w:rFonts w:ascii="Times New Roman" w:hAnsi="Times New Roman"/>
                <w:sz w:val="20"/>
              </w:rPr>
              <w:t>Screenshots, Git-Commits</w:t>
            </w:r>
          </w:p>
        </w:tc>
        <w:tc>
          <w:tcPr>
            <w:tcW w:type="dxa" w:w="3024"/>
          </w:tcPr>
          <w:p>
            <w:r>
              <w:rPr>
                <w:rFonts w:ascii="Times New Roman" w:hAnsi="Times New Roman"/>
                <w:sz w:val="20"/>
              </w:rPr>
              <w:t>B-3</w:t>
            </w:r>
          </w:p>
        </w:tc>
      </w:tr>
      <w:tr>
        <w:tc>
          <w:tcPr>
            <w:tcW w:type="dxa" w:w="3024"/>
          </w:tcPr>
          <w:p>
            <w:r>
              <w:rPr>
                <w:rFonts w:ascii="Times New Roman" w:hAnsi="Times New Roman"/>
                <w:sz w:val="20"/>
              </w:rPr>
              <w:t>Erklärung zur Barrierefreiheit (veröffentlicht 06.04.2026)</w:t>
            </w:r>
          </w:p>
        </w:tc>
        <w:tc>
          <w:tcPr>
            <w:tcW w:type="dxa" w:w="3024"/>
          </w:tcPr>
          <w:p>
            <w:r>
              <w:rPr>
                <w:rFonts w:ascii="Times New Roman" w:hAnsi="Times New Roman"/>
                <w:sz w:val="20"/>
              </w:rPr>
              <w:t>URL-Screenshot</w:t>
            </w:r>
          </w:p>
        </w:tc>
        <w:tc>
          <w:tcPr>
            <w:tcW w:type="dxa" w:w="3024"/>
          </w:tcPr>
          <w:p>
            <w:r>
              <w:rPr>
                <w:rFonts w:ascii="Times New Roman" w:hAnsi="Times New Roman"/>
                <w:sz w:val="20"/>
              </w:rPr>
              <w:t>B-4</w:t>
            </w:r>
          </w:p>
        </w:tc>
      </w:tr>
      <w:tr>
        <w:tc>
          <w:tcPr>
            <w:tcW w:type="dxa" w:w="3024"/>
          </w:tcPr>
          <w:p>
            <w:r>
              <w:rPr>
                <w:rFonts w:ascii="Times New Roman" w:hAnsi="Times New Roman"/>
                <w:sz w:val="20"/>
              </w:rPr>
              <w:t>Vertrag Lavendelhaus Design 2022</w:t>
            </w:r>
          </w:p>
        </w:tc>
        <w:tc>
          <w:tcPr>
            <w:tcW w:type="dxa" w:w="3024"/>
          </w:tcPr>
          <w:p>
            <w:r>
              <w:rPr>
                <w:rFonts w:ascii="Times New Roman" w:hAnsi="Times New Roman"/>
                <w:sz w:val="20"/>
              </w:rPr>
              <w:t>Nachweis Theme-Verantwortung</w:t>
            </w:r>
          </w:p>
        </w:tc>
        <w:tc>
          <w:tcPr>
            <w:tcW w:type="dxa" w:w="3024"/>
          </w:tcPr>
          <w:p>
            <w:r>
              <w:rPr>
                <w:rFonts w:ascii="Times New Roman" w:hAnsi="Times New Roman"/>
                <w:sz w:val="20"/>
              </w:rPr>
              <w:t>B-5</w:t>
            </w:r>
          </w:p>
        </w:tc>
      </w:tr>
      <w:tr>
        <w:tc>
          <w:tcPr>
            <w:tcW w:type="dxa" w:w="3024"/>
          </w:tcPr>
          <w:p>
            <w:r>
              <w:rPr>
                <w:rFonts w:ascii="Times New Roman" w:hAnsi="Times New Roman"/>
                <w:sz w:val="20"/>
              </w:rPr>
              <w:t>Sachverständigen-Anforderung (ggf.)</w:t>
            </w:r>
          </w:p>
        </w:tc>
        <w:tc>
          <w:tcPr>
            <w:tcW w:type="dxa" w:w="3024"/>
          </w:tcPr>
          <w:p>
            <w:r>
              <w:rPr>
                <w:rFonts w:ascii="Times New Roman" w:hAnsi="Times New Roman"/>
                <w:sz w:val="20"/>
              </w:rPr>
              <w:t>WCAG-Gutachter</w:t>
            </w:r>
          </w:p>
        </w:tc>
        <w:tc>
          <w:tcPr>
            <w:tcW w:type="dxa" w:w="3024"/>
          </w:tcPr>
          <w:p>
            <w:r>
              <w:rPr>
                <w:rFonts w:ascii="Times New Roman" w:hAnsi="Times New Roman"/>
                <w:sz w:val="20"/>
              </w:rPr>
              <w:t>B-6</w:t>
            </w:r>
          </w:p>
        </w:tc>
      </w:tr>
    </w:tbl>
    <w:p/>
    <w:p>
      <w:pPr>
        <w:pStyle w:val="Heading2"/>
      </w:pPr>
      <w:r>
        <w:rPr>
          <w:rFonts w:ascii="Times New Roman" w:hAnsi="Times New Roman"/>
        </w:rPr>
        <w:t>4. Vergleichsangebot (zu übermitteln vor Klageerwiderungstermin)</w:t>
      </w:r>
    </w:p>
    <w:p>
      <w:pPr>
        <w:jc w:val="left"/>
      </w:pPr>
      <w:r>
        <w:t>Entwurf eines Vergleichsangebots an VZ NRW, RA Hollenbeck:</w:t>
      </w:r>
    </w:p>
    <w:p>
      <w:pPr>
        <w:pStyle w:val="ListBullet"/>
      </w:pPr>
      <w:r>
        <w:t>Tannenkamp Mode-Versand GmbH verpflichtet sich zur Herstellung des WCAG 2.1 AA-konformen Zustands bis 30.09.2026 (verifiziert durch Abschluss-Audit AccessCheck GmbH).</w:t>
      </w:r>
    </w:p>
    <w:p>
      <w:pPr>
        <w:pStyle w:val="ListBullet"/>
      </w:pPr>
      <w:r>
        <w:t>Tannenkamp zahlt im Falle eines nachgewiesenen Rückfalls nach Abschluss der Sanierung eine Vertragsstrafe von 5.000 EUR pro Verstoß an VZ NRW.</w:t>
      </w:r>
    </w:p>
    <w:p>
      <w:pPr>
        <w:pStyle w:val="ListBullet"/>
      </w:pPr>
      <w:r>
        <w:t>Kosten des Rechtsstreits werden gegeneinander aufgehoben.</w:t>
      </w:r>
    </w:p>
    <w:p>
      <w:pPr>
        <w:pStyle w:val="ListBullet"/>
      </w:pPr>
      <w:r>
        <w:t>VZ NRW übermittelt Tannenkamp einmal jährlich die Ergebnisse einer stichprobenartigen Überprüfung; Mandantin behebt etwaige Mängel binnen 4 Wochen.</w:t>
      </w:r>
    </w:p>
    <w:p/>
    <w:p>
      <w:pPr>
        <w:pStyle w:val="Heading2"/>
      </w:pPr>
      <w:r>
        <w:rPr>
          <w:rFonts w:ascii="Times New Roman" w:hAnsi="Times New Roman"/>
        </w:rPr>
        <w:t>5. Zeitplan Klageerwiderung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Entwurf Klageerwiderung an Mandantin</w:t>
            </w:r>
          </w:p>
        </w:tc>
        <w:tc>
          <w:tcPr>
            <w:tcW w:type="dxa" w:w="4536"/>
          </w:tcPr>
          <w:p>
            <w:r>
              <w:rPr>
                <w:rFonts w:ascii="Times New Roman" w:hAnsi="Times New Roman"/>
                <w:sz w:val="20"/>
              </w:rPr>
              <w:t>20.05.2026</w:t>
            </w:r>
          </w:p>
        </w:tc>
      </w:tr>
      <w:tr>
        <w:tc>
          <w:tcPr>
            <w:tcW w:type="dxa" w:w="4536"/>
          </w:tcPr>
          <w:p>
            <w:r>
              <w:rPr>
                <w:rFonts w:ascii="Times New Roman" w:hAnsi="Times New Roman"/>
                <w:sz w:val="20"/>
              </w:rPr>
              <w:t>Freigabe durch Mandantin</w:t>
            </w:r>
          </w:p>
        </w:tc>
        <w:tc>
          <w:tcPr>
            <w:tcW w:type="dxa" w:w="4536"/>
          </w:tcPr>
          <w:p>
            <w:r>
              <w:rPr>
                <w:rFonts w:ascii="Times New Roman" w:hAnsi="Times New Roman"/>
                <w:sz w:val="20"/>
              </w:rPr>
              <w:t>25.05.2026</w:t>
            </w:r>
          </w:p>
        </w:tc>
      </w:tr>
      <w:tr>
        <w:tc>
          <w:tcPr>
            <w:tcW w:type="dxa" w:w="4536"/>
          </w:tcPr>
          <w:p>
            <w:r>
              <w:rPr>
                <w:rFonts w:ascii="Times New Roman" w:hAnsi="Times New Roman"/>
                <w:sz w:val="20"/>
              </w:rPr>
              <w:t>Einreichung LG Hannover</w:t>
            </w:r>
          </w:p>
        </w:tc>
        <w:tc>
          <w:tcPr>
            <w:tcW w:type="dxa" w:w="4536"/>
          </w:tcPr>
          <w:p>
            <w:r>
              <w:rPr>
                <w:rFonts w:ascii="Times New Roman" w:hAnsi="Times New Roman"/>
                <w:sz w:val="20"/>
              </w:rPr>
              <w:t>31.05.2026</w:t>
            </w:r>
          </w:p>
        </w:tc>
      </w:tr>
      <w:tr>
        <w:tc>
          <w:tcPr>
            <w:tcW w:type="dxa" w:w="4536"/>
          </w:tcPr>
          <w:p>
            <w:r>
              <w:rPr>
                <w:rFonts w:ascii="Times New Roman" w:hAnsi="Times New Roman"/>
                <w:sz w:val="20"/>
              </w:rPr>
              <w:t>Gleichzeitig: Vergleichsangebot an VZ NRW</w:t>
            </w:r>
          </w:p>
        </w:tc>
        <w:tc>
          <w:tcPr>
            <w:tcW w:type="dxa" w:w="4536"/>
          </w:tcPr>
          <w:p>
            <w:r>
              <w:rPr>
                <w:rFonts w:ascii="Times New Roman" w:hAnsi="Times New Roman"/>
                <w:sz w:val="20"/>
              </w:rPr>
              <w:t>20.05.2026</w:t>
            </w:r>
          </w:p>
        </w:tc>
      </w:tr>
      <w:tr>
        <w:tc>
          <w:tcPr>
            <w:tcW w:type="dxa" w:w="4536"/>
          </w:tcPr>
          <w:p>
            <w:r>
              <w:rPr>
                <w:rFonts w:ascii="Times New Roman" w:hAnsi="Times New Roman"/>
                <w:sz w:val="20"/>
              </w:rPr>
              <w:t>Erwartete Reaktion VZ NRW</w:t>
            </w:r>
          </w:p>
        </w:tc>
        <w:tc>
          <w:tcPr>
            <w:tcW w:type="dxa" w:w="4536"/>
          </w:tcPr>
          <w:p>
            <w:r>
              <w:rPr>
                <w:rFonts w:ascii="Times New Roman" w:hAnsi="Times New Roman"/>
                <w:sz w:val="20"/>
              </w:rPr>
              <w:t>Juni 2026</w:t>
            </w:r>
          </w:p>
        </w:tc>
      </w:tr>
      <w:tr>
        <w:tc>
          <w:tcPr>
            <w:tcW w:type="dxa" w:w="4536"/>
          </w:tcPr>
          <w:p>
            <w:r>
              <w:rPr>
                <w:rFonts w:ascii="Times New Roman" w:hAnsi="Times New Roman"/>
                <w:sz w:val="20"/>
              </w:rPr>
              <w:t>Gütetermin LG Hannover (zu beantragen)</w:t>
            </w:r>
          </w:p>
        </w:tc>
        <w:tc>
          <w:tcPr>
            <w:tcW w:type="dxa" w:w="4536"/>
          </w:tcPr>
          <w:p>
            <w:r>
              <w:rPr>
                <w:rFonts w:ascii="Times New Roman" w:hAnsi="Times New Roman"/>
                <w:sz w:val="20"/>
              </w:rPr>
              <w:t>Juli/August 2026</w:t>
            </w:r>
          </w:p>
        </w:tc>
      </w:tr>
    </w:tbl>
    <w:p/>
    <w:p>
      <w:pPr>
        <w:jc w:val="left"/>
      </w:pPr>
      <w:r>
        <w:rPr>
          <w:i/>
        </w:rPr>
        <w:t>Quelle: UKlaG (dejure.org/gesetze/UKlaG); BFSG § 14, § 33 (dejure.org/gesetze/BFSG); ZPO §§ 253 ff. (dejure.org/gesetze/ZPO)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