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22 — Abschluss und Handlungsempfehlungen</w:t>
      </w:r>
    </w:p>
    <w:p>
      <w:pPr>
        <w:jc w:val="left"/>
      </w:pPr>
      <w:r>
        <w:rPr>
          <w:b/>
        </w:rPr>
        <w:t>Bearbeitungsstand:</w:t>
      </w:r>
      <w:r>
        <w:t xml:space="preserve"> Mai 2026</w:t>
      </w:r>
    </w:p>
    <w:p>
      <w:pPr>
        <w:jc w:val="left"/>
      </w:pPr>
      <w:r>
        <w:rPr>
          <w:b/>
        </w:rPr>
        <w:t>Bearb.:</w:t>
      </w:r>
      <w:r>
        <w:t xml:space="preserve"> Dr. A. Friedrichs</w:t>
      </w:r>
    </w:p>
    <w:p/>
    <w:p>
      <w:pPr>
        <w:pStyle w:val="Heading2"/>
      </w:pPr>
      <w:r>
        <w:rPr>
          <w:rFonts w:ascii="Times New Roman" w:hAnsi="Times New Roman"/>
        </w:rPr>
        <w:t>1. Zusammenfassung der Lage (Mai 2026)</w:t>
      </w:r>
    </w:p>
    <w:p>
      <w:pPr>
        <w:jc w:val="left"/>
      </w:pPr>
      <w:r>
        <w:t>Tannenkamp Mode-Versand GmbH steht am Ende der akuten Krisenphase. Die unmittelbaren Sofortmaßnahmen (Fokus-CSS, Skip-Link, Kontrast, Erklärung zur Barrierefreiheit, Feedback-Mechanismus) sind umgesetzt. Gegenüber MüNI und LG Hannover ist die Mandantin als kooperativer, handlungswilliger Betreiber aufgetreten.</w:t>
      </w:r>
    </w:p>
    <w:p>
      <w:pPr>
        <w:jc w:val="left"/>
      </w:pPr>
      <w:r>
        <w:t>Der Kern der strategischen Aufgabe hat sich verschoben: von Krisenabwehr zu geordneter Sanierung und dauerhafter Compliance.</w:t>
      </w:r>
    </w:p>
    <w:p/>
    <w:p>
      <w:pPr>
        <w:pStyle w:val="Heading2"/>
      </w:pPr>
      <w:r>
        <w:rPr>
          <w:rFonts w:ascii="Times New Roman" w:hAnsi="Times New Roman"/>
        </w:rPr>
        <w:t>2. Handlungsempfehlungen — Kurzfristig (bis 31.07.2026)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Klageerwiderung LG Hannover einreichen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Friedrichs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Vergleichsangebot an VZ NRW übermitteln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Friedrichs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Phase 2 ARIA/Landmark-Korrekturen beauftragen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Wörmann/Lavendelhaus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Alt-Text-Bulk-Upload beauftragen (Spezialagentur)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Hüsing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Schlichtungsangebot an Lavendelhaus Design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Friedrichs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MüNI-Sanierungsfortschritt-Bericht (Phase 1 abg.)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Friedrichs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01.07.2026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Handlungsempfehlungen — Mittelfristig (bis 30.09.2026)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 2 vollständig abschließen (alle technischen Korrekturen)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Wörmann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 3 — Re-Audit AccessCheck GmbH beauftragen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Wörmann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Mitarbeiterschulungen durchführen (alle Zielgruppen)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Hüsing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Erklärung zur Barrierefreiheit aktualisieren (nach Abschluss-Audit)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Wörmann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Abschluss-Bericht an MüNI und LG Hannover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Friedrichs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Abschluss-Bericht an Mandantin mit Compliance-Status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Friedrichs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Handlungsempfehlungen — Dauerhaft ab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Frequenz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Jährlicher WCAG-Audit durch externen Dienstleister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Jährlich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Monatlicher automatisierter Scan (axe/Lighthouse CI)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Monatlich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Barrierefreiheits-Update in Mitarbeiterschulung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Jährlich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Überprüfung und Aktualisierung Erklärung zur Barrierefreiheit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Jährlich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WCAG-Anforderungen in alle neuen IT-Dienstleisterverträge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 Vertragsschluss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VPAT-Anforderung für neue Shopify-Plugins und -Apps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 Beschaffung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Präventionsstrategische Gesamtempfehlung</w:t>
      </w:r>
    </w:p>
    <w:p>
      <w:pPr>
        <w:jc w:val="left"/>
      </w:pPr>
      <w:r>
        <w:t>Das BFSG-Verfahren bei Tannenkamp ist symptomatisch für eine Marktlage, in der viele mittelgroße E-Commerce-Betreiber ohne WCAG-Kenntnisse in die BFSG-Pflicht geraten sind. Die Kosten der reaktiven Compliance übersteigen die präventiven Kosten erheblich.</w:t>
      </w:r>
    </w:p>
    <w:p>
      <w:pPr>
        <w:jc w:val="left"/>
      </w:pPr>
      <w:r>
        <w:t xml:space="preserve">Für die Mandantin bedeutet das: Die investierten ca. 55.000–85.000 EUR (Sanierung + Verfahren + Bußgeld) wären als proaktive Investition bei ca. 25.000–35.000 EUR gelegen. </w:t>
      </w:r>
      <w:r>
        <w:rPr>
          <w:b/>
        </w:rPr>
        <w:t>Der präventive BFSG-Compliance-Ansatz rechnet sich.</w:t>
      </w:r>
    </w:p>
    <w:p>
      <w:pPr>
        <w:jc w:val="left"/>
      </w:pPr>
      <w:r>
        <w:t>Empfehlung für alle künftigen IT-Beschaffungsentscheidungen: WCAG-Konformität als erstrangige technische Anforderung formulieren, nicht als nachrangige Option.</w:t>
      </w:r>
    </w:p>
    <w:p/>
    <w:p>
      <w:pPr>
        <w:pStyle w:val="Heading2"/>
      </w:pPr>
      <w:r>
        <w:rPr>
          <w:rFonts w:ascii="Times New Roman" w:hAnsi="Times New Roman"/>
        </w:rPr>
        <w:t>6. Mandatsabschluss (Prognose Oktober 2026)</w:t>
      </w:r>
    </w:p>
    <w:p>
      <w:pPr>
        <w:jc w:val="left"/>
      </w:pPr>
      <w:r>
        <w:t>Wenn alle Maßnahmen plangemäß abgeschlossen sind:</w:t>
      </w:r>
    </w:p>
    <w:p>
      <w:pPr>
        <w:pStyle w:val="ListBullet"/>
      </w:pPr>
      <w:r>
        <w:t>MüNI-Verfahren mit Bußgeld erledigt</w:t>
      </w:r>
    </w:p>
    <w:p>
      <w:pPr>
        <w:pStyle w:val="ListBullet"/>
      </w:pPr>
      <w:r>
        <w:t>LG Hannover-Verfahren durch Vergleich beendet</w:t>
      </w:r>
    </w:p>
    <w:p>
      <w:pPr>
        <w:pStyle w:val="ListBullet"/>
      </w:pPr>
      <w:r>
        <w:t>Regress-Verfahren Lavendelhaus durch Schlichtung oder Urteil abgeschlossen</w:t>
      </w:r>
    </w:p>
    <w:p>
      <w:pPr>
        <w:pStyle w:val="ListBullet"/>
      </w:pPr>
      <w:r>
        <w:t>Online-Shop tannenkamp-mode.de WCAG 2.1 AA-konform</w:t>
      </w:r>
    </w:p>
    <w:p>
      <w:pPr>
        <w:jc w:val="left"/>
      </w:pPr>
      <w:r>
        <w:t>Mandatsabschluss mit abschließendem Compliance-Memorandum an Mandantin.</w:t>
      </w:r>
    </w:p>
    <w:p/>
    <w:p>
      <w:pPr>
        <w:jc w:val="left"/>
      </w:pPr>
      <w:r>
        <w:rPr>
          <w:i/>
        </w:rPr>
        <w:t>Bearb.: RA Dr. Annerose Friedrichs — IT-Recht &amp; Verbraucherschutz, Hannover — Mai 2026</w:t>
      </w:r>
    </w:p>
    <w:p>
      <w:pPr>
        <w:jc w:val="left"/>
      </w:pPr>
      <w:r>
        <w:rPr>
          <w:i/>
        </w:rPr>
        <w:t>Intern-Az.: AF-IT-2026/0094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