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Erstgespräch</w:t>
      </w:r>
    </w:p>
    <w:p>
      <w:pPr>
        <w:jc w:val="left"/>
      </w:pPr>
      <w:r>
        <w:rPr>
          <w:b/>
        </w:rPr>
        <w:t>Datum:</w:t>
      </w:r>
      <w:r>
        <w:t xml:space="preserve"> Mittwoch, 22.04.2026, 09:20 bis 10:35 Uhr</w:t>
      </w:r>
    </w:p>
    <w:p>
      <w:pPr>
        <w:jc w:val="left"/>
      </w:pPr>
      <w:r>
        <w:rPr>
          <w:b/>
        </w:rPr>
        <w:t>Ort:</w:t>
      </w:r>
      <w:r>
        <w:t xml:space="preserve"> Kanzlei Am Torbogen, Hindenburgplatz 4, 91077 Irmenstadt, Besprechungsraum 2</w:t>
      </w:r>
    </w:p>
    <w:p>
      <w:pPr>
        <w:jc w:val="left"/>
      </w:pPr>
      <w:r>
        <w:rPr>
          <w:b/>
        </w:rPr>
        <w:t>Teilnehmende:</w:t>
      </w:r>
      <w:r>
        <w:t xml:space="preserve"> Kunigunde Rabenhaupt (Mandantin), RAin Dr. Ottilie Steinacker, Referendar Balduin Mertel (Protokoll)</w:t>
      </w:r>
    </w:p>
    <w:p>
      <w:pPr>
        <w:jc w:val="left"/>
      </w:pPr>
      <w:r>
        <w:rPr>
          <w:b/>
        </w:rPr>
        <w:t>Mandatsumfang:</w:t>
      </w:r>
      <w:r>
        <w:t xml:space="preserve"> zivilrechtliche Beratung in den Fällen Praegepresse, Werkstattbedarf Wendelbert Eisenhut, Messingtypen Giselher; Pruefung einer arbeitsrechtlichen Reaktion auf Hildebrand Fuchs in Folge der oben genannten Vorgänge.</w:t>
      </w:r>
    </w:p>
    <w:p>
      <w:pPr>
        <w:pStyle w:val="Heading2"/>
      </w:pPr>
      <w:r>
        <w:rPr>
          <w:rFonts w:ascii="Times New Roman" w:hAnsi="Times New Roman"/>
        </w:rPr>
        <w:t>Erscheinung und Verhalten der Mandantin</w:t>
      </w:r>
    </w:p>
    <w:p>
      <w:pPr>
        <w:jc w:val="left"/>
      </w:pPr>
      <w:r>
        <w:t>Frau Rabenhaupt wirkt sehr geordnet, aber sichtlich verärgert. Sie hat einen DIN-A4-Hefter mitgebracht (grüner Heftrahmen mit Aufdruck "Werkstattfragen 2026") mit ausgedruckten E-Mails, einem Chat-Export (USB-Stick mitgebracht) und der Vollmacht für Hildebrand Fuchs. Sie sagt im Erstgespräch mehrfach: "Die Praegepresse brauche ich. Mit dem Rest werden wir auch noch fertig." Auf Nachfrage betont sie, dass sie aktuell keinen offenen Konflikt mit Hildebrand sucht; sie will jedoch wissen, ob die Vollmacht weiter gilt und ob die Wendelbert-Eisenhut-Rechnung schon endgültig die Werkstatt bindet.</w:t>
      </w:r>
    </w:p>
    <w:p>
      <w:pPr>
        <w:pStyle w:val="Heading2"/>
      </w:pPr>
      <w:r>
        <w:rPr>
          <w:rFonts w:ascii="Times New Roman" w:hAnsi="Times New Roman"/>
        </w:rPr>
        <w:t>Von der Mandantin geschilderter Sachverhalt</w:t>
      </w:r>
    </w:p>
    <w:p>
      <w:pPr>
        <w:pStyle w:val="ListBullet"/>
      </w:pPr>
      <w:r>
        <w:t>Am 09.04.2026 habe Adelheid Krummstab auf der Plattform AltWerk eine Praegepresse eingestellt. Im Inserat AW-77-426 habe sie "Sofortkauf möglich" und "Preis 1.480 EUR", "Abholung in Wendelheim-Nord" angegeben. Es habe drei Fotos gegeben.</w:t>
      </w:r>
    </w:p>
    <w:p>
      <w:pPr>
        <w:pStyle w:val="ListBullet"/>
      </w:pPr>
      <w:r>
        <w:t>Kunigunde habe am selben Abend (09.04.2026, ca. 21:00 Uhr) über den Button "verbindlich kaufen" geklickt. Danach kam nur eine automatische Eingangsbestätigung, dass der Vertrag "nach Pruefung der Anbieterin zustande komme".</w:t>
      </w:r>
    </w:p>
    <w:p>
      <w:pPr>
        <w:pStyle w:val="ListBullet"/>
      </w:pPr>
      <w:r>
        <w:t>Am 10.04.2026 schrieb Adelheid, sie müsse noch prüfen, ob die Presse wirklich "vollständig bronzegefuehrt" sei. Im Inserat selbst stand die Eigenschaft "bronzegefuehrt".</w:t>
      </w:r>
    </w:p>
    <w:p>
      <w:pPr>
        <w:pStyle w:val="ListBullet"/>
      </w:pPr>
      <w:r>
        <w:t>Am 11.04.2026 fuhr Kunigunde mit Hildebrand zur Besichtigung nach Nürnberg. Adelheid schrieb auf einem Quittungsblock eine Notiz (vgl. 07_form_sittenwidrigkeit_bedingung.md): "Falls die Werkstatt den Auftrag Stift Falkenau bekommt, bleibt es bei 1.480 plus Lieferung. Sonst reden wir neu. Presse bleibt bis dahin hier."</w:t>
      </w:r>
    </w:p>
    <w:p>
      <w:pPr>
        <w:pStyle w:val="ListBullet"/>
      </w:pPr>
      <w:r>
        <w:t>Am 12.04.2026 bot Adelheid Lieferung gegen 190 EUR Zuschlag an und bat um Annahme bis "Montagabend".</w:t>
      </w:r>
    </w:p>
    <w:p>
      <w:pPr>
        <w:pStyle w:val="ListBullet"/>
      </w:pPr>
      <w:r>
        <w:t>Kunigunde antwortete am 13.04.2026 um 22:48 Uhr aus dem Zug auf der Strecke Würzburg-Nürnberg. Die Mail blieb laut ihrem Handy im Postausgang hängen und wurde erst am 14.04.2026 um 08:06 Uhr versendet, als sie wieder in einem stabilen WLAN-Netz war.</w:t>
      </w:r>
    </w:p>
    <w:p>
      <w:pPr>
        <w:pStyle w:val="ListBullet"/>
      </w:pPr>
      <w:r>
        <w:t>Adelheid behauptet nun, die Annahme sei verspätet gewesen. Gleichzeitig erklärt sie vorsorglich Anfechtung, weil der Preis eigentlich 14.800 EUR habe lauten sollen (Schreiben Adelheid vom 18.04.2026).</w:t>
      </w:r>
    </w:p>
    <w:p>
      <w:pPr>
        <w:pStyle w:val="ListBullet"/>
      </w:pPr>
      <w:r>
        <w:t xml:space="preserve">Hildebrand hat am 15.04.2026 bei der Wendelbert Eisenhut GmbH Werkstattbedarf für </w:t>
      </w:r>
      <w:r>
        <w:rPr>
          <w:b/>
        </w:rPr>
        <w:t>12.460 EUR brutto</w:t>
      </w:r>
      <w:r>
        <w:t xml:space="preserve"> bestellt. Interne Grenze laut Kunigunde: 8.000 EUR. Nach aussen habe sie nie eine Grenze genannt.</w:t>
      </w:r>
    </w:p>
    <w:p>
      <w:pPr>
        <w:pStyle w:val="ListBullet"/>
      </w:pPr>
      <w:r>
        <w:t>Giselher hat am 16.04.2026 in der Filiale Nürnberg-Erlenstegen der Wendelbert Eisenhut GmbH Messingtypen "Fraktur fein, 14 Punkt" für 620 EUR gekauft. Er hat 240 EUR direkt am Jugendkonto-Terminal bezahlt; den Rest sollte er "nächsten Monat oder halt in Raten" begleichen.</w:t>
      </w:r>
    </w:p>
    <w:p>
      <w:pPr>
        <w:pStyle w:val="Heading2"/>
      </w:pPr>
      <w:r>
        <w:rPr>
          <w:rFonts w:ascii="Times New Roman" w:hAnsi="Times New Roman"/>
        </w:rPr>
        <w:t>Belege, die im Termin gesichtet wurden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09.04.2026, 21:17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Eingangsbestätigung AltWerk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Adelheid zur Bronzefrage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Quittungsblock-Zettel Adelheid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handschriftlich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12.04.2026, 18:41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Adelheid mit Annahmefrist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13.04.2026, 22:48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Annahme-Mail Kunigunde (gesetzter Versand)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E-Mail-Header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14.04.2026, 08:06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tatsächlich versandte Annahme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E-Mail-Header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Bestellbestätigung Wendelbert Eisenhut Nr. WE-2026-22884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Mandantin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Quittung Giselher (Filiale Nürnberg-Erlenstegen)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Papier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Mandantin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17.04.2026, 19:42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SMS-Screenshot Theudelinde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Foto vom Handy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Schreiben Adelheid Krummstab (Anfechtung)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Brief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Wendelbert Eisenhut zur Minderjaehrigkeit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Vollmacht Werkstattbedarf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Papier mit handschriftlicher Ergänzung Hildebrands vom 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vorhanden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Erste Einschätzung ohne Ergebnis</w:t>
      </w:r>
    </w:p>
    <w:p>
      <w:pPr>
        <w:jc w:val="left"/>
      </w:pPr>
      <w:r>
        <w:t>Die Akte enthält mehrere BGB-AT-Schwerpunkte ohne klare Hierarchie:</w:t>
      </w:r>
    </w:p>
    <w:p>
      <w:pPr>
        <w:pStyle w:val="ListBullet"/>
      </w:pPr>
      <w:r>
        <w:t>Vertragsschluss im Online-Kontext (Angebot, invitatio, Prüfvorbehalt der Plattform, späteres Lieferangebot, Annahme).</w:t>
      </w:r>
    </w:p>
    <w:p>
      <w:pPr>
        <w:pStyle w:val="ListBullet"/>
      </w:pPr>
      <w:r>
        <w:t>Zugang und Annahmefrist (Montagabend, Postausgang, tatsächlicher Versand, gewöhnliche Kenntnisnahmemoeglichkeit).</w:t>
      </w:r>
    </w:p>
    <w:p>
      <w:pPr>
        <w:pStyle w:val="ListBullet"/>
      </w:pPr>
      <w:r>
        <w:t>Anfechtung (Preisirrtum als Erklaerungs- oder Kalkulationsirrtum; Eigenschaftsirrtum bezüglich der Bronzeführung).</w:t>
      </w:r>
    </w:p>
    <w:p>
      <w:pPr>
        <w:pStyle w:val="ListBullet"/>
      </w:pPr>
      <w:r>
        <w:t>Minderjaehrigenrecht (§§ 107, 108, 110 BGB; Frage der "Bewirkung" mit Eigen-/Fremdmitteln; Frage der Ratenzahlung).</w:t>
      </w:r>
    </w:p>
    <w:p>
      <w:pPr>
        <w:pStyle w:val="ListBullet"/>
      </w:pPr>
      <w:r>
        <w:t>Stellvertretung (Aussenvollmacht, interne Grenze, Missbrauch der Vertretungsmacht, Evidenz und Kollusion).</w:t>
      </w:r>
    </w:p>
    <w:p>
      <w:pPr>
        <w:pStyle w:val="ListBullet"/>
      </w:pPr>
      <w:r>
        <w:t>Bedingung (Quittungsblock-Zettel; ggf. § 158 Abs. 1 BGB aufschiebende Bedingung).</w:t>
      </w:r>
    </w:p>
    <w:p>
      <w:pPr>
        <w:pStyle w:val="ListBullet"/>
      </w:pPr>
      <w:r>
        <w:t>Form und Sittenwidrigkeit (Behauptung Adelheid, Kunigunde habe ihre Unerfahrenheit ausgenutzt).</w:t>
      </w:r>
    </w:p>
    <w:p>
      <w:pPr>
        <w:pStyle w:val="ListBullet"/>
      </w:pPr>
      <w:r>
        <w:t>Form arbeitsrechtlicher Kündigung (§ 623 BGB, § 126a BGB, § 46c ArbGG, § 46h ArbGG).</w:t>
      </w:r>
    </w:p>
    <w:p>
      <w:pPr>
        <w:jc w:val="left"/>
      </w:pPr>
      <w:r>
        <w:t>Bitte zuerst keine endgültige Lösung, sondern sauber sortieren.</w:t>
      </w:r>
    </w:p>
    <w:p>
      <w:pPr>
        <w:pStyle w:val="Heading2"/>
      </w:pPr>
      <w:r>
        <w:rPr>
          <w:rFonts w:ascii="Times New Roman" w:hAnsi="Times New Roman"/>
        </w:rPr>
        <w:t>Drei Rückfragen an die Mandantin (im Termin geklärt)</w:t>
      </w:r>
    </w:p>
    <w:p>
      <w:pPr>
        <w:pStyle w:val="ListNumber"/>
      </w:pPr>
      <w:r>
        <w:rPr>
          <w:b/>
        </w:rPr>
        <w:t>Wann genau wurde die Annahme-Mail abgeschickt?</w:t>
      </w:r>
      <w:r>
        <w:t xml:space="preserve"> Antwort Mandantin: Schreiben am 13.04. um 22:48 Uhr im Zug; tatsächlich versandt 14.04. um 08:06 Uhr nach Eintritt ins Heim-WLAN. Sie weiss nicht, was Adelheids Mail-Server zuerst gesehen hat.</w:t>
      </w:r>
    </w:p>
    <w:p>
      <w:pPr>
        <w:pStyle w:val="ListNumber"/>
      </w:pPr>
      <w:r>
        <w:rPr>
          <w:b/>
        </w:rPr>
        <w:t>Hat die Werkstatt vor dem 18.04.2026 schon einmal etwas an Adelheid bezahlt oder geleistet?</w:t>
      </w:r>
      <w:r>
        <w:t xml:space="preserve"> Antwort: Nein.</w:t>
      </w:r>
    </w:p>
    <w:p>
      <w:pPr>
        <w:pStyle w:val="ListNumber"/>
      </w:pPr>
      <w:r>
        <w:rPr>
          <w:b/>
        </w:rPr>
        <w:t>Wer kannte die interne 8.000-EUR-Grenze ausserhalb der Werkstatt?</w:t>
      </w:r>
      <w:r>
        <w:t xml:space="preserve"> Antwort: Niemand. Hildebrand wusste es. Mechthild Federlein wusste es. Hauptlieferant Wendelbert Eisenhut Senior </w:t>
      </w:r>
      <w:r>
        <w:rPr>
          <w:b/>
        </w:rPr>
        <w:t>vermutet</w:t>
      </w:r>
      <w:r>
        <w:t xml:space="preserve"> es nach einer Bemerkung aus Q4/2025.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Themenkarte und Anspruchsmatrix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Balduin Mertel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Antwortschreiben Adelheid Krummstab (Entwurf)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Balduin Mertel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 mit Wendelbert Eisenhut jun.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Ottilie Steinacker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Aufforderung Eltern Giselher nach § 108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Balduin Mertel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Aktennotiz zu Vollmacht und Innenlimit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Ottilie Steinacker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