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Notiz Minderjaehrigenkauf Giselher</w:t>
      </w:r>
    </w:p>
    <w:p>
      <w:pPr>
        <w:pStyle w:val="Heading2"/>
      </w:pPr>
      <w:r>
        <w:rPr>
          <w:rFonts w:ascii="Times New Roman" w:hAnsi="Times New Roman"/>
        </w:rPr>
        <w:t>Personalien und Lebenssituation</w:t>
      </w:r>
    </w:p>
    <w:p>
      <w:pPr>
        <w:jc w:val="left"/>
      </w:pPr>
      <w:r>
        <w:rPr>
          <w:b/>
        </w:rPr>
        <w:t>Giselher Rabenhaupt, geb. 12.02.2010, also 16 Jahre alt</w:t>
      </w:r>
      <w:r>
        <w:t>, wohnhaft Erikastr. 18, 91086 Wendelheim. Allein sorgeberechtigt: Mutter Theudelinde Rabenhaupt, geb. 09.04.1973, gleicher Anschrift. Der Vater ist verstorben (02.05.2018).</w:t>
      </w:r>
    </w:p>
    <w:p>
      <w:pPr>
        <w:jc w:val="left"/>
      </w:pPr>
      <w:r>
        <w:t xml:space="preserve">Giselher hilft jeden Mittwoch und Samstag in der Werkstatt seiner Tante Kunigunde. Es besteht </w:t>
      </w:r>
      <w:r>
        <w:rPr>
          <w:b/>
        </w:rPr>
        <w:t>kein Ausbildungsverhältnis</w:t>
      </w:r>
      <w:r>
        <w:t>. Er sortiert Kisten, fährt Materialwagen, wischt die Werkstatt und beobachtet gelegentlich Restaurierungsschritte; er repariert nicht selbst.</w:t>
      </w:r>
    </w:p>
    <w:p>
      <w:pPr>
        <w:pStyle w:val="Heading2"/>
      </w:pPr>
      <w:r>
        <w:rPr>
          <w:rFonts w:ascii="Times New Roman" w:hAnsi="Times New Roman"/>
        </w:rPr>
        <w:t>Geldquellen Giselhers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Quelle</w:t>
            </w:r>
          </w:p>
        </w:tc>
        <w:tc>
          <w:tcPr>
            <w:tcW w:type="dxa" w:w="2268"/>
          </w:tcPr>
          <w:p>
            <w:r>
              <w:rPr>
                <w:rFonts w:ascii="Times New Roman" w:hAnsi="Times New Roman"/>
                <w:b/>
                <w:sz w:val="20"/>
              </w:rPr>
              <w:t>Höhe</w:t>
            </w:r>
          </w:p>
        </w:tc>
        <w:tc>
          <w:tcPr>
            <w:tcW w:type="dxa" w:w="2268"/>
          </w:tcPr>
          <w:p>
            <w:r>
              <w:rPr>
                <w:rFonts w:ascii="Times New Roman" w:hAnsi="Times New Roman"/>
                <w:b/>
                <w:sz w:val="20"/>
              </w:rPr>
              <w:t>Frequenz</w:t>
            </w:r>
          </w:p>
        </w:tc>
        <w:tc>
          <w:tcPr>
            <w:tcW w:type="dxa" w:w="2268"/>
          </w:tcPr>
          <w:p>
            <w:r>
              <w:rPr>
                <w:rFonts w:ascii="Times New Roman" w:hAnsi="Times New Roman"/>
                <w:b/>
                <w:sz w:val="20"/>
              </w:rPr>
              <w:t>Verwendungszweck</w:t>
            </w:r>
          </w:p>
        </w:tc>
      </w:tr>
      <w:tr>
        <w:tc>
          <w:tcPr>
            <w:tcW w:type="dxa" w:w="2268"/>
          </w:tcPr>
          <w:p>
            <w:r>
              <w:rPr>
                <w:rFonts w:ascii="Times New Roman" w:hAnsi="Times New Roman"/>
                <w:sz w:val="20"/>
              </w:rPr>
              <w:t>Taschengeld Mutter</w:t>
            </w:r>
          </w:p>
        </w:tc>
        <w:tc>
          <w:tcPr>
            <w:tcW w:type="dxa" w:w="2268"/>
          </w:tcPr>
          <w:p>
            <w:r>
              <w:rPr>
                <w:rFonts w:ascii="Times New Roman" w:hAnsi="Times New Roman"/>
                <w:sz w:val="20"/>
              </w:rPr>
              <w:t>75 EUR</w:t>
            </w:r>
          </w:p>
        </w:tc>
        <w:tc>
          <w:tcPr>
            <w:tcW w:type="dxa" w:w="2268"/>
          </w:tcPr>
          <w:p>
            <w:r>
              <w:rPr>
                <w:rFonts w:ascii="Times New Roman" w:hAnsi="Times New Roman"/>
                <w:sz w:val="20"/>
              </w:rPr>
              <w:t>monatlich</w:t>
            </w:r>
          </w:p>
        </w:tc>
        <w:tc>
          <w:tcPr>
            <w:tcW w:type="dxa" w:w="2268"/>
          </w:tcPr>
          <w:p>
            <w:r>
              <w:rPr>
                <w:rFonts w:ascii="Times New Roman" w:hAnsi="Times New Roman"/>
                <w:sz w:val="20"/>
              </w:rPr>
              <w:t>frei</w:t>
            </w:r>
          </w:p>
        </w:tc>
      </w:tr>
      <w:tr>
        <w:tc>
          <w:tcPr>
            <w:tcW w:type="dxa" w:w="2268"/>
          </w:tcPr>
          <w:p>
            <w:r>
              <w:rPr>
                <w:rFonts w:ascii="Times New Roman" w:hAnsi="Times New Roman"/>
                <w:sz w:val="20"/>
              </w:rPr>
              <w:t>Werkstattmitarbeit (Mutter zahlt nach Stundenzettel)</w:t>
            </w:r>
          </w:p>
        </w:tc>
        <w:tc>
          <w:tcPr>
            <w:tcW w:type="dxa" w:w="2268"/>
          </w:tcPr>
          <w:p>
            <w:r>
              <w:rPr>
                <w:rFonts w:ascii="Times New Roman" w:hAnsi="Times New Roman"/>
                <w:sz w:val="20"/>
              </w:rPr>
              <w:t>60 EUR</w:t>
            </w:r>
          </w:p>
        </w:tc>
        <w:tc>
          <w:tcPr>
            <w:tcW w:type="dxa" w:w="2268"/>
          </w:tcPr>
          <w:p>
            <w:r>
              <w:rPr>
                <w:rFonts w:ascii="Times New Roman" w:hAnsi="Times New Roman"/>
                <w:sz w:val="20"/>
              </w:rPr>
              <w:t>monatlich, schwankt</w:t>
            </w:r>
          </w:p>
        </w:tc>
        <w:tc>
          <w:tcPr>
            <w:tcW w:type="dxa" w:w="2268"/>
          </w:tcPr>
          <w:p>
            <w:r>
              <w:rPr>
                <w:rFonts w:ascii="Times New Roman" w:hAnsi="Times New Roman"/>
                <w:sz w:val="20"/>
              </w:rPr>
              <w:t>frei, aber faktisch für Sportverein</w:t>
            </w:r>
          </w:p>
        </w:tc>
      </w:tr>
      <w:tr>
        <w:tc>
          <w:tcPr>
            <w:tcW w:type="dxa" w:w="2268"/>
          </w:tcPr>
          <w:p>
            <w:r>
              <w:rPr>
                <w:rFonts w:ascii="Times New Roman" w:hAnsi="Times New Roman"/>
                <w:sz w:val="20"/>
              </w:rPr>
              <w:t>Botengänge für Tante Kunigunde</w:t>
            </w:r>
          </w:p>
        </w:tc>
        <w:tc>
          <w:tcPr>
            <w:tcW w:type="dxa" w:w="2268"/>
          </w:tcPr>
          <w:p>
            <w:r>
              <w:rPr>
                <w:rFonts w:ascii="Times New Roman" w:hAnsi="Times New Roman"/>
                <w:sz w:val="20"/>
              </w:rPr>
              <w:t>20 EUR/Botengang</w:t>
            </w:r>
          </w:p>
        </w:tc>
        <w:tc>
          <w:tcPr>
            <w:tcW w:type="dxa" w:w="2268"/>
          </w:tcPr>
          <w:p>
            <w:r>
              <w:rPr>
                <w:rFonts w:ascii="Times New Roman" w:hAnsi="Times New Roman"/>
                <w:sz w:val="20"/>
              </w:rPr>
              <w:t>unregelmaessig (4-6 Mal pro Monat)</w:t>
            </w:r>
          </w:p>
        </w:tc>
        <w:tc>
          <w:tcPr>
            <w:tcW w:type="dxa" w:w="2268"/>
          </w:tcPr>
          <w:p>
            <w:r>
              <w:rPr>
                <w:rFonts w:ascii="Times New Roman" w:hAnsi="Times New Roman"/>
                <w:sz w:val="20"/>
              </w:rPr>
              <w:t>bar, kein Vertrag</w:t>
            </w:r>
          </w:p>
        </w:tc>
      </w:tr>
      <w:tr>
        <w:tc>
          <w:tcPr>
            <w:tcW w:type="dxa" w:w="2268"/>
          </w:tcPr>
          <w:p>
            <w:r>
              <w:rPr>
                <w:rFonts w:ascii="Times New Roman" w:hAnsi="Times New Roman"/>
                <w:sz w:val="20"/>
              </w:rPr>
              <w:t>Geschenke (Geburtstag, Weihnachten)</w:t>
            </w:r>
          </w:p>
        </w:tc>
        <w:tc>
          <w:tcPr>
            <w:tcW w:type="dxa" w:w="2268"/>
          </w:tcPr>
          <w:p>
            <w:r>
              <w:rPr>
                <w:rFonts w:ascii="Times New Roman" w:hAnsi="Times New Roman"/>
                <w:sz w:val="20"/>
              </w:rPr>
              <w:t>100-200 EUR</w:t>
            </w:r>
          </w:p>
        </w:tc>
        <w:tc>
          <w:tcPr>
            <w:tcW w:type="dxa" w:w="2268"/>
          </w:tcPr>
          <w:p>
            <w:r>
              <w:rPr>
                <w:rFonts w:ascii="Times New Roman" w:hAnsi="Times New Roman"/>
                <w:sz w:val="20"/>
              </w:rPr>
              <w:t>jährlich</w:t>
            </w:r>
          </w:p>
        </w:tc>
        <w:tc>
          <w:tcPr>
            <w:tcW w:type="dxa" w:w="2268"/>
          </w:tcPr>
          <w:p>
            <w:r>
              <w:rPr>
                <w:rFonts w:ascii="Times New Roman" w:hAnsi="Times New Roman"/>
                <w:sz w:val="20"/>
              </w:rPr>
              <w:t>auf Jugendkonto</w:t>
            </w:r>
          </w:p>
        </w:tc>
      </w:tr>
    </w:tbl>
    <w:p>
      <w:pPr>
        <w:jc w:val="left"/>
      </w:pPr>
      <w:r>
        <w:t xml:space="preserve">Aktueller Jugendkonto-Saldo (Postbank, geführt für Theudelinde Rabenhaupt als gesetzliche Vertreterin) am 16.04.2026, 14:00 Uhr: </w:t>
      </w:r>
      <w:r>
        <w:rPr>
          <w:b/>
        </w:rPr>
        <w:t>612,40 EUR</w:t>
      </w:r>
      <w:r>
        <w:t>.</w:t>
      </w:r>
    </w:p>
    <w:p>
      <w:pPr>
        <w:pStyle w:val="Heading2"/>
      </w:pPr>
      <w:r>
        <w:rPr>
          <w:rFonts w:ascii="Times New Roman" w:hAnsi="Times New Roman"/>
        </w:rPr>
        <w:t>Vorgang vom 16.04.2026</w:t>
      </w:r>
    </w:p>
    <w:p>
      <w:pPr>
        <w:jc w:val="left"/>
      </w:pPr>
      <w:r>
        <w:t xml:space="preserve">Giselher kaufte am 16.04.2026 in der Filiale Nürnberg-Erlenstegen der Wendelbert Eisenhut GmbH einen Satz Messingtypen "Fraktur fein, 14 Punkt" für </w:t>
      </w:r>
      <w:r>
        <w:rPr>
          <w:b/>
        </w:rPr>
        <w:t>620 EUR</w:t>
      </w:r>
      <w:r>
        <w:t>. Filialleitung im Termin: Yvonne Eisenhut (Tochter des Geschäftsführers). Filialnummer 014. Quittungsnummer WE-2026-23018.</w:t>
      </w:r>
    </w:p>
    <w:p>
      <w:pPr>
        <w:jc w:val="left"/>
      </w:pPr>
      <w:r>
        <w:t>Er zahlte 240 EUR sofort über sein Jugendkonto (Lastschrift am Filialterminal). In der Bestellmaske steht:</w:t>
      </w:r>
    </w:p>
    <w:p>
      <w:pPr>
        <w:ind w:left="567"/>
      </w:pPr>
      <w:r>
        <w:rPr>
          <w:i/>
        </w:rPr>
        <w:t>Restbetrag 380 EUR zahlbar binnen 30 Tagen oder in vier Monatsraten zu je 97 EUR inklusive Bearbeitungspauschale (Gesamtfinanzierung 388 EUR). Der Käufer wählt die Ratenoption: ja.</w:t>
      </w:r>
    </w:p>
    <w:p>
      <w:pPr>
        <w:jc w:val="left"/>
      </w:pPr>
      <w:r>
        <w:t>Giselher hat zu Yvonne Eisenhut gesagt, dass es "für die Werkstatt" sei. Er hat keine Vollmacht von Kunigunde Rabenhaupt vorgelegt. Yvonne hat darauf vertraut, weil Kunigundes Werkstatt bei Wendelbert Eisenhut langjährige Kundin ist.</w:t>
      </w:r>
    </w:p>
    <w:p>
      <w:pPr>
        <w:pStyle w:val="Heading2"/>
      </w:pPr>
      <w:r>
        <w:rPr>
          <w:rFonts w:ascii="Times New Roman" w:hAnsi="Times New Roman"/>
        </w:rPr>
        <w:t>Reaktion Mutter (Theudelinde) am 17.04.2026</w:t>
      </w:r>
    </w:p>
    <w:p>
      <w:pPr>
        <w:jc w:val="left"/>
      </w:pPr>
      <w:r>
        <w:t>Theudelinde schreibt am 17.04.2026, 19:42 Uhr per SMS an Kunigunde:</w:t>
      </w:r>
    </w:p>
    <w:p>
      <w:pPr>
        <w:ind w:left="567"/>
      </w:pPr>
      <w:r>
        <w:rPr>
          <w:i/>
        </w:rPr>
        <w:t>"Ich genehmige gar nichts, wenn er dafür Schulden macht. Wenn er mit seinem eigenen ersparten Geld etwas Kleines kauft, meinetwegen. Aber keine Raten und keine Werkstattnummer."</w:t>
      </w:r>
    </w:p>
    <w:p>
      <w:pPr>
        <w:jc w:val="left"/>
      </w:pPr>
      <w:r>
        <w:t>Aus der Mail vom 18.04.2026 (Anlage A2 zur Akte) ergänzt Theudelinde:</w:t>
      </w:r>
    </w:p>
    <w:p>
      <w:pPr>
        <w:ind w:left="567"/>
      </w:pPr>
      <w:r>
        <w:rPr>
          <w:i/>
        </w:rPr>
        <w:t>"Den 240-EUR-Anteil können wir, ärgerlich aber verschmerzbar, akzeptieren. Was wir nicht akzeptieren, sind die Raten über 380 EUR oder die 30-Tage-Schuld. Bitte teilen Sie das auch dem Händler mit."</w:t>
      </w:r>
    </w:p>
    <w:p>
      <w:pPr>
        <w:pStyle w:val="Heading2"/>
      </w:pPr>
      <w:r>
        <w:rPr>
          <w:rFonts w:ascii="Times New Roman" w:hAnsi="Times New Roman"/>
        </w:rPr>
        <w:t>Reaktion Händler (Wendelbert Eisenhut GmbH) am 18.04.2026</w:t>
      </w:r>
    </w:p>
    <w:p>
      <w:pPr>
        <w:jc w:val="left"/>
      </w:pPr>
      <w:r>
        <w:t>Wendelbert Eisenhut jun. schreibt am 18.04.2026 per E-Mail an die Werkstatt (Anlage A3):</w:t>
      </w:r>
    </w:p>
    <w:p>
      <w:pPr>
        <w:ind w:left="567"/>
      </w:pPr>
      <w:r>
        <w:rPr>
          <w:i/>
        </w:rPr>
        <w:t>"Wir hatten keinen Hinweis auf Minderjaehrigkeit. Der Kunde hat bezahlt und die Ware ist versandt. Wir erwarten Zahlung des Restbetrags."</w:t>
      </w:r>
    </w:p>
    <w:p>
      <w:pPr>
        <w:jc w:val="left"/>
      </w:pPr>
      <w:r>
        <w:t>Auf telefonische Nachfrage Kunigundes am 18.04.2026 nachmittags erklärt Wendelbert jun. zudem, Giselher habe sich nicht ausgewiesen, sehe aber "deutlich jünger als 18" aus. Die Filialleitung hätte nach Yvonne Eisenhuts Aussage "doppelt nachfragen müssen". Wendelbert junior bietet folgendes an:</w:t>
      </w:r>
    </w:p>
    <w:p>
      <w:pPr>
        <w:pStyle w:val="ListNumber"/>
      </w:pPr>
      <w:r>
        <w:t>Wenn die Ratenzahlung scheitert: Stornierung des Vertrags gegen Rückgabe der Ware in originalverpacktem Zustand binnen 14 Tagen.</w:t>
      </w:r>
    </w:p>
    <w:p>
      <w:pPr>
        <w:pStyle w:val="ListNumber"/>
      </w:pPr>
      <w:r>
        <w:t>Wenn die Ware bereits ausgepackt ist: Pruefung von Schadensquoten und Rückkauf zum Mindererloes.</w:t>
      </w:r>
    </w:p>
    <w:p>
      <w:pPr>
        <w:pStyle w:val="ListNumber"/>
      </w:pPr>
      <w:r>
        <w:t>Wenn die Mutter die Genehmigung verweigert: dieselbe Stornierungsoption.</w:t>
      </w:r>
    </w:p>
    <w:p>
      <w:pPr>
        <w:pStyle w:val="Heading2"/>
      </w:pPr>
      <w:r>
        <w:rPr>
          <w:rFonts w:ascii="Times New Roman" w:hAnsi="Times New Roman"/>
        </w:rPr>
        <w:t>Bewertung Kanzlei (Balduin Mertel, 25.04.2026)</w:t>
      </w:r>
    </w:p>
    <w:p>
      <w:pPr>
        <w:pStyle w:val="Heading3"/>
      </w:pPr>
      <w:r>
        <w:rPr>
          <w:rFonts w:ascii="Times New Roman" w:hAnsi="Times New Roman"/>
        </w:rPr>
        <w:t>§ 107 BGB</w:t>
      </w:r>
    </w:p>
    <w:p>
      <w:pPr>
        <w:jc w:val="left"/>
      </w:pPr>
      <w:r>
        <w:t>Giselher ist 16, mithin beschränkt geschäftsfähig (§ 106 BGB). Der Kauf der Messingtypen ist nicht ledig vorteilhaft (er entsteht eine Pflicht zur Zahlung). Die Wirksamkeit hängt von der Einwilligung der gesetzlichen Vertreterin (Mutter) ab.</w:t>
      </w:r>
    </w:p>
    <w:p>
      <w:pPr>
        <w:pStyle w:val="Heading3"/>
      </w:pPr>
      <w:r>
        <w:rPr>
          <w:rFonts w:ascii="Times New Roman" w:hAnsi="Times New Roman"/>
        </w:rPr>
        <w:t>§ 108 BGB</w:t>
      </w:r>
    </w:p>
    <w:p>
      <w:pPr>
        <w:jc w:val="left"/>
      </w:pPr>
      <w:r>
        <w:t>Die Mutter hat keine vorherige Einwilligung erteilt. Eine spätere Genehmigung wäre möglich, ist aber ausdrücklich verweigert worden (SMS vom 17.04.2026 und E-Mail vom 18.04.2026).</w:t>
      </w:r>
    </w:p>
    <w:p>
      <w:pPr>
        <w:jc w:val="left"/>
      </w:pPr>
      <w:r>
        <w:t>Differenzierung:</w:t>
      </w:r>
    </w:p>
    <w:p>
      <w:pPr>
        <w:pStyle w:val="ListBullet"/>
      </w:pPr>
      <w:r>
        <w:t xml:space="preserve">Bzgl. der 240-EUR-Sofortzahlung: Die Mutter sagt "verschmerzbar". Das ist eine </w:t>
      </w:r>
      <w:r>
        <w:rPr>
          <w:b/>
        </w:rPr>
        <w:t>partielle Genehmigung</w:t>
      </w:r>
      <w:r>
        <w:t xml:space="preserve"> im Bezug auf den teilbar zu denkenden Vorgang. Frage: Ist der Kaufvertrag teilbar? Argumentativ schwierig. § 139 BGB ist hier nicht passend; eine "Teil-Genehmigung" ist nicht vorgesehen. Faktisch eher: Genehmigung des ganzen Vertrags wird verweigert, aber Rückforderung der 240 EUR wird nicht beansprucht.</w:t>
      </w:r>
    </w:p>
    <w:p>
      <w:pPr>
        <w:pStyle w:val="ListBullet"/>
      </w:pPr>
      <w:r>
        <w:t>Bzgl. der Ratenzahlung 380 EUR: Genehmigung verweigert.</w:t>
      </w:r>
    </w:p>
    <w:p>
      <w:pPr>
        <w:pStyle w:val="Heading3"/>
      </w:pPr>
      <w:r>
        <w:rPr>
          <w:rFonts w:ascii="Times New Roman" w:hAnsi="Times New Roman"/>
        </w:rPr>
        <w:t>§ 110 BGB ("Taschengeldparagraph")</w:t>
      </w:r>
    </w:p>
    <w:p>
      <w:pPr>
        <w:jc w:val="left"/>
      </w:pPr>
      <w:r>
        <w:t>Die 240 EUR sind aus dem Jugendkonto bezahlt. Voraussetzung des § 110 BGB ist, dass die Leistung mit Mitteln bewirkt wurde, die dem Minderjährigen von dem Vertreter oder einem Dritten mit Zustimmung des Vertreters zu diesem Zweck oder zur freien Verfügung überlassen worden sind. Die 240 EUR sind aus angesparten Geldern auf dem Jugendkonto. Das Jugendkonto wird von der Mutter als gesetzlicher Vertreterin geführt; die Mittel darauf sind "zur freien Verfügung" Giselhers.</w:t>
      </w:r>
    </w:p>
    <w:p>
      <w:pPr>
        <w:jc w:val="left"/>
      </w:pPr>
      <w:r>
        <w:rPr>
          <w:b/>
        </w:rPr>
        <w:t>Problem 1:</w:t>
      </w:r>
      <w:r>
        <w:t xml:space="preserve"> Der Restbetrag von 380 EUR ist </w:t>
      </w:r>
      <w:r>
        <w:rPr>
          <w:b/>
        </w:rPr>
        <w:t>noch nicht</w:t>
      </w:r>
      <w:r>
        <w:t xml:space="preserve"> bewirkt. § 110 BGB schliesst keinen Vertrag, dessen Wirksamkeit teilweise von noch nicht bewirkten Leistungen abhängt. Solange die Leistung nicht vollständig bewirkt ist, kann § 110 BGB nicht heilen.</w:t>
      </w:r>
    </w:p>
    <w:p>
      <w:pPr>
        <w:jc w:val="left"/>
      </w:pPr>
      <w:r>
        <w:rPr>
          <w:b/>
        </w:rPr>
        <w:t>Problem 2:</w:t>
      </w:r>
      <w:r>
        <w:t xml:space="preserve"> Ratenzahlung bedeutet, dass Giselher eine zukünftige Zahlungspflicht eingeht. Die Genehmigung der Mutter ist insoweit klar verweigert.</w:t>
      </w:r>
    </w:p>
    <w:p>
      <w:pPr>
        <w:pStyle w:val="Heading3"/>
      </w:pPr>
      <w:r>
        <w:rPr>
          <w:rFonts w:ascii="Times New Roman" w:hAnsi="Times New Roman"/>
        </w:rPr>
        <w:t>Konsequenz vorläufig</w:t>
      </w:r>
    </w:p>
    <w:p>
      <w:pPr>
        <w:pStyle w:val="ListBullet"/>
      </w:pPr>
      <w:r>
        <w:t>Der gesamte Vertrag über 620 EUR ist nach § 108 BGB schwebend unwirksam, weil die Mutter nicht genehmigt.</w:t>
      </w:r>
    </w:p>
    <w:p>
      <w:pPr>
        <w:pStyle w:val="ListBullet"/>
      </w:pPr>
      <w:r>
        <w:t>Die Aufforderung des Händlers an die Mutter nach § 108 Abs. 2 BGB hat noch nicht erfolgt formell, ist aber durch die ersten Kommunikationen faktisch im Gange. Eine förmliche Aufforderung sollte versandt werden, um die Vierwochenfrist auszulösen.</w:t>
      </w:r>
    </w:p>
    <w:p>
      <w:pPr>
        <w:pStyle w:val="ListBullet"/>
      </w:pPr>
      <w:r>
        <w:t>Wenn die Mutter förmlich verweigert, ist der Vertrag von Anfang an unwirksam. Rückabwicklung nach §§ 812 ff. BGB. Die Ware ist zurück, die 240 EUR sind zurückzuzahlen.</w:t>
      </w:r>
    </w:p>
    <w:p>
      <w:pPr>
        <w:pStyle w:val="Heading2"/>
      </w:pPr>
      <w:r>
        <w:rPr>
          <w:rFonts w:ascii="Times New Roman" w:hAnsi="Times New Roman"/>
        </w:rPr>
        <w:t>Nächste Schritte</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Schritt</w:t>
            </w:r>
          </w:p>
        </w:tc>
        <w:tc>
          <w:tcPr>
            <w:tcW w:type="dxa" w:w="3024"/>
          </w:tcPr>
          <w:p>
            <w:r>
              <w:rPr>
                <w:rFonts w:ascii="Times New Roman" w:hAnsi="Times New Roman"/>
                <w:b/>
                <w:sz w:val="20"/>
              </w:rPr>
              <w:t>Verantwortlich</w:t>
            </w:r>
          </w:p>
        </w:tc>
        <w:tc>
          <w:tcPr>
            <w:tcW w:type="dxa" w:w="3024"/>
          </w:tcPr>
          <w:p>
            <w:r>
              <w:rPr>
                <w:rFonts w:ascii="Times New Roman" w:hAnsi="Times New Roman"/>
                <w:b/>
                <w:sz w:val="20"/>
              </w:rPr>
              <w:t>Frist</w:t>
            </w:r>
          </w:p>
        </w:tc>
      </w:tr>
      <w:tr>
        <w:tc>
          <w:tcPr>
            <w:tcW w:type="dxa" w:w="3024"/>
          </w:tcPr>
          <w:p>
            <w:r>
              <w:rPr>
                <w:rFonts w:ascii="Times New Roman" w:hAnsi="Times New Roman"/>
                <w:sz w:val="20"/>
              </w:rPr>
              <w:t>Förmliche Genehmigungsaufforderung an Theudelinde nach § 108 Abs. 2 BGB</w:t>
            </w:r>
          </w:p>
        </w:tc>
        <w:tc>
          <w:tcPr>
            <w:tcW w:type="dxa" w:w="3024"/>
          </w:tcPr>
          <w:p>
            <w:r>
              <w:rPr>
                <w:rFonts w:ascii="Times New Roman" w:hAnsi="Times New Roman"/>
                <w:sz w:val="20"/>
              </w:rPr>
              <w:t>Balduin Mertel</w:t>
            </w:r>
          </w:p>
        </w:tc>
        <w:tc>
          <w:tcPr>
            <w:tcW w:type="dxa" w:w="3024"/>
          </w:tcPr>
          <w:p>
            <w:r>
              <w:rPr>
                <w:rFonts w:ascii="Times New Roman" w:hAnsi="Times New Roman"/>
                <w:sz w:val="20"/>
              </w:rPr>
              <w:t>23.04.2026</w:t>
            </w:r>
          </w:p>
        </w:tc>
      </w:tr>
      <w:tr>
        <w:tc>
          <w:tcPr>
            <w:tcW w:type="dxa" w:w="3024"/>
          </w:tcPr>
          <w:p>
            <w:r>
              <w:rPr>
                <w:rFonts w:ascii="Times New Roman" w:hAnsi="Times New Roman"/>
                <w:sz w:val="20"/>
              </w:rPr>
              <w:t>Mitteilung an Wendelbert Eisenhut GmbH, dass der Vertrag schwebend unwirksam ist und keine Werkstattnummer Adresse trifft</w:t>
            </w:r>
          </w:p>
        </w:tc>
        <w:tc>
          <w:tcPr>
            <w:tcW w:type="dxa" w:w="3024"/>
          </w:tcPr>
          <w:p>
            <w:r>
              <w:rPr>
                <w:rFonts w:ascii="Times New Roman" w:hAnsi="Times New Roman"/>
                <w:sz w:val="20"/>
              </w:rPr>
              <w:t>Balduin Mertel</w:t>
            </w:r>
          </w:p>
        </w:tc>
        <w:tc>
          <w:tcPr>
            <w:tcW w:type="dxa" w:w="3024"/>
          </w:tcPr>
          <w:p>
            <w:r>
              <w:rPr>
                <w:rFonts w:ascii="Times New Roman" w:hAnsi="Times New Roman"/>
                <w:sz w:val="20"/>
              </w:rPr>
              <w:t>23.04.2026</w:t>
            </w:r>
          </w:p>
        </w:tc>
      </w:tr>
      <w:tr>
        <w:tc>
          <w:tcPr>
            <w:tcW w:type="dxa" w:w="3024"/>
          </w:tcPr>
          <w:p>
            <w:r>
              <w:rPr>
                <w:rFonts w:ascii="Times New Roman" w:hAnsi="Times New Roman"/>
                <w:sz w:val="20"/>
              </w:rPr>
              <w:t>Klärung, ob Werkstatt zur Stornierung bereit ist (Variante 1 des Händlers)</w:t>
            </w:r>
          </w:p>
        </w:tc>
        <w:tc>
          <w:tcPr>
            <w:tcW w:type="dxa" w:w="3024"/>
          </w:tcPr>
          <w:p>
            <w:r>
              <w:rPr>
                <w:rFonts w:ascii="Times New Roman" w:hAnsi="Times New Roman"/>
                <w:sz w:val="20"/>
              </w:rPr>
              <w:t>Kunigunde Rabenhaupt</w:t>
            </w:r>
          </w:p>
        </w:tc>
        <w:tc>
          <w:tcPr>
            <w:tcW w:type="dxa" w:w="3024"/>
          </w:tcPr>
          <w:p>
            <w:r>
              <w:rPr>
                <w:rFonts w:ascii="Times New Roman" w:hAnsi="Times New Roman"/>
                <w:sz w:val="20"/>
              </w:rPr>
              <w:t>26.04.2026</w:t>
            </w:r>
          </w:p>
        </w:tc>
      </w:tr>
      <w:tr>
        <w:tc>
          <w:tcPr>
            <w:tcW w:type="dxa" w:w="3024"/>
          </w:tcPr>
          <w:p>
            <w:r>
              <w:rPr>
                <w:rFonts w:ascii="Times New Roman" w:hAnsi="Times New Roman"/>
                <w:sz w:val="20"/>
              </w:rPr>
              <w:t>Erläuterung gegenüber Giselher und Theudelinde, dass keine Werkstatt-Haftung besteht</w:t>
            </w:r>
          </w:p>
        </w:tc>
        <w:tc>
          <w:tcPr>
            <w:tcW w:type="dxa" w:w="3024"/>
          </w:tcPr>
          <w:p>
            <w:r>
              <w:rPr>
                <w:rFonts w:ascii="Times New Roman" w:hAnsi="Times New Roman"/>
                <w:sz w:val="20"/>
              </w:rPr>
              <w:t>RAin Steinacker</w:t>
            </w:r>
          </w:p>
        </w:tc>
        <w:tc>
          <w:tcPr>
            <w:tcW w:type="dxa" w:w="3024"/>
          </w:tcPr>
          <w:p>
            <w:r>
              <w:rPr>
                <w:rFonts w:ascii="Times New Roman" w:hAnsi="Times New Roman"/>
                <w:sz w:val="20"/>
              </w:rPr>
              <w:t>25.04.2026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