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Anspruchsmatrix roh</w:t>
      </w:r>
    </w:p>
    <w:p>
      <w:pPr>
        <w:jc w:val="left"/>
      </w:pPr>
      <w:r>
        <w:rPr>
          <w:b/>
        </w:rPr>
        <w:t>Stand:</w:t>
      </w:r>
      <w:r>
        <w:t xml:space="preserve"> 25.04.2026, Entwurf 2 durch Balduin Mertel, Pruefung Ottilie Steinacker ausstehend.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Möglicher Anspruch / Einwendung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Tatsachenanker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Tatbestand 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Nächster Skill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Praegepresse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Lieferung aus Kaufvertrag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433 Abs. 1 i.V.m. §§ 145, 147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AltWerk-Klick 09.04.2026, Lieferangebot 12.04.2026, Annahme 14.04.2026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War das Plattform-Inserat oder erst die Mail vom 12.04. das Angebot? Annahme rechtzeitig?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vertragsschluss-antrag-annahme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Praegepresse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Annahme zu spät, Vertrag nicht zustande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§§ 130 Abs. 1, 147 Abs. 2, 150 Abs. 1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"bis Montagabend", Versand 14.04. 08:06 Uhr, Zugang gemäß Server-Log 08:08 Uhr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Bedeutung "Montagabend" nach Empfängerhorizont; Zugang im Machtbereich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annahmefrist-verspaetung-paragraphen-147-149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Praegepresse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Anfechtung Preis (Adelheid)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119 Abs. 1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Schreiben 18.04.2026, behaupteter Tippfehler 1.480/14.800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Erklaerungs- oder Kalkulations-/Motivirrtum? Kausalität?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irrtumsanfechtung-paragraph-119-1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Praegepresse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Anfechtung Eigenschaft (Adelheid)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119 Abs. 2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Bronze-Angabe im Inserat; Mischführung; Hildebrands Hinweis 11.04.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Eigenschaft wesentlich und kausal? Hat Adelheid Kenntnis vor Inserat haben müssen?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eigenschaftsirrtum-paragraph-119-2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Praegepresse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Schadenersatz Kunigunde (falls Anfechtung greift)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122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Stift-Falkenau-Auftrag; entgangene Restaurierungsauftraege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Vertrauensschaden konkret bezifferbar?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vertrauensschaden-paragraph-122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Praegepresse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Bedingung Stift Falkenau (Zettel)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158 Abs. 1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Quittungsblock-Zettel 11.04.2026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Bedingung oder blosse Motivrede? Eingetreten 16.04.2026 mit mündlicher Bestätigung?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bedingung-befristung-paragraphen-158-163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Praegepresse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Sittenwidrigkeit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138 Abs. 1, Abs. 2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Behauptetes Missverhältnis 1.480 vs. 14.800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Auffälliges Missverhältnis? Subjektive Ausbeutung? Prüfkette Wuchergehilfe?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wucher-und-ausbeutung-paragraph-138-2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Zubehör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Bindung der Werkstatt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§§ 164 ff.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Vollmacht 03.01.2026, Bestellung 12.460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Aussenvollmacht deckt Bestellung; Innenlimit grundsätzlich unerheblich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vollmacht-erteilung-umfang-erlöschen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Zubehör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Missbrauch der Vertretungsmacht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§§ 167, 242 BGB analog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Hildebrand kannte die 8.000-EUR-Grenze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Evidenz beim Lieferanten? Kollusion?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missbrauch-vertretungsmacht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Zubehör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Schadenersatz gegen Hildebrand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§§ 280 Abs. 1, 241 Abs. 2, 619a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Bestellung trotz Innenlimit; handschriftliche Ergänzung 15.04.2026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Verschuldensgrad? Mitverschulden Kunigunde durch fehlende Kontrolle?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pflichtverletzung-arbeitsverhaeltnis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Messingtypen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Zahlungsanspruch Händler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433 Abs. 2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Giselher 16, 240 EUR gezahlt, 380 EUR Rest 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108 BGB schwebende Unwirksamkeit; § 110 BGB Bewirken?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taschengeld-paragraph-110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Messingtypen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Genehmigungsfrist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108 Abs. 2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SMS Theudelinde 17.04. + E-Mail 18.04.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Vierwochenfrist nach förmlicher Aufforderung; vorläufige Erklärung der Mutter rein faktisch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genehmigung-verweigerung-paragraph-108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Messingtypen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Rückabwicklung bei Verweigerung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§§ 812 ff.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240 EUR aus Jugendkonto bezahlt; Ware ausgehändigt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Rückforderung der 240 EUR vs. Rückgabe Ware; Saldotheorie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bereicherungsrueckabwicklung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Arbeitsrecht Fuchs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Kündigung Arbeitsverhältnis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622 BGB, § 626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Verhalten 08.05.2026, Schriftsatzkündigungsidee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Form (§ 623 BGB), beA, § 174 BGB, § 46h ArbGG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elektronische-form-bea-qes-formfiktion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Stift Falkenau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Ersatzbeschaffung Praegepresse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 (vertraglich Werkstatt-Stift)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Auftragsvolumen 78.400 EUR brutto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Wenn Vertrag mit Adelheid nicht zustande kommt: alternative Maschine? Schadensbegrenzung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werkvertrag-stift-falkenau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Fristenmonitor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121 BGB, § 108 Abs. 2 BGB, § 622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Erstellung 08_fristenkalender.csv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Vorlauf laufende Fristen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fristen-berechnung-paragraphen-186-193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Priorisierung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Praegepresse Vertragsschluss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Werkstattauftrag Stift Falkenau hängt daran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Annahme rechtzeitig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 zentral für Vertragsschluss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 Adelheid (Preis und Eigenschaft)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 erklärter Gegenanspruch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Vollmacht Werkstattbedarf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Bestellung bereits durchgeführt; Rückabwicklung mit Lieferant möglich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Missbrauch Vertretungsmacht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als Argumentationslinie vorhanden, aber Beweisproblem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Schadenersatz gegen Hildebrand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 bei Lieferantenforderung; arbeitsrechtlich überlagert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Messingtypen Giselher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klare Rechtslage, aber Mandantin will Konflikt vermeiden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Sittenwidrigkeit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unwahrscheinlich, aber Adelheid bringt es vor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Bedingung Stift Falkenau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wahrscheinlich Motivrede, nicht Bedingung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Schriftsatzkündigung Fuchs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 18.06.2026 ArbG; Formfrage komplex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Stift-Falkenau-Ersatzbeschaffung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 bei endgültigem Scheitern der Adelheid-Verhandlung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Drei (oder weniger) Rückfragen an die Mandantin</w:t>
      </w:r>
    </w:p>
    <w:p>
      <w:pPr>
        <w:pStyle w:val="ListNumber"/>
      </w:pPr>
      <w:r>
        <w:rPr>
          <w:b/>
        </w:rPr>
        <w:t>Stift Falkenau:</w:t>
      </w:r>
      <w:r>
        <w:t xml:space="preserve"> Liegt mittlerweile eine schriftliche Auftragsbestätigung von Pater Tellbach vor? Beeinflusst eine alternative Praegepresse den Auftrag (Stücklisten, Stilfragen)?</w:t>
      </w:r>
    </w:p>
    <w:p>
      <w:pPr>
        <w:pStyle w:val="ListNumber"/>
      </w:pPr>
      <w:r>
        <w:rPr>
          <w:b/>
        </w:rPr>
        <w:t>Adelheids Inserat:</w:t>
      </w:r>
      <w:r>
        <w:t xml:space="preserve"> Liegen Screenshots des Inserats AW-77-426 (Stand 06.04.2026, Stand 09.04.2026, Stand 11.04.2026) bei?</w:t>
      </w:r>
    </w:p>
    <w:p>
      <w:pPr>
        <w:pStyle w:val="ListNumber"/>
      </w:pPr>
      <w:r>
        <w:rPr>
          <w:b/>
        </w:rPr>
        <w:t>Hildebrand:</w:t>
      </w:r>
      <w:r>
        <w:t xml:space="preserve"> Soll die Werkstatt zunächst eine arbeitsrechtliche Abmahnung versenden oder direkt die Kündigung prüfen?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