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Erwartete Prüfpfade ohne abschliessende Bewertung</w:t>
      </w:r>
    </w:p>
    <w:p>
      <w:pPr>
        <w:jc w:val="left"/>
      </w:pPr>
      <w:r>
        <w:t>Diese Datei beschreibt nur, welche Themen ein guter Lauf des Plugins finden sollte. Sie legt kein Ergebnis fest.</w:t>
      </w:r>
    </w:p>
    <w:p>
      <w:pPr>
        <w:pStyle w:val="Heading2"/>
      </w:pPr>
      <w:r>
        <w:rPr>
          <w:rFonts w:ascii="Times New Roman" w:hAnsi="Times New Roman"/>
        </w:rPr>
        <w:t>Muss gefunden werden</w:t>
      </w:r>
    </w:p>
    <w:p>
      <w:pPr>
        <w:pStyle w:val="Heading3"/>
      </w:pPr>
      <w:r>
        <w:rPr>
          <w:rFonts w:ascii="Times New Roman" w:hAnsi="Times New Roman"/>
        </w:rPr>
        <w:t>1. Vertragsschluss im Online-Kontext</w:t>
      </w:r>
    </w:p>
    <w:p>
      <w:pPr>
        <w:pStyle w:val="ListBullet"/>
      </w:pPr>
      <w:r>
        <w:t>Plattform-Inserat als invitatio ad offerendum bei Prüfvorbehalt der Anbieterin.</w:t>
      </w:r>
    </w:p>
    <w:p>
      <w:pPr>
        <w:pStyle w:val="ListBullet"/>
      </w:pPr>
      <w:r>
        <w:t>Klick auf Sofortkauf am 09.04.2026 als Angebot.</w:t>
      </w:r>
    </w:p>
    <w:p>
      <w:pPr>
        <w:pStyle w:val="ListBullet"/>
      </w:pPr>
      <w:r>
        <w:t>Mail Adelheid vom 12.04.2026 als neues Angebot, das die ursprüngliche Konstellation überholt.</w:t>
      </w:r>
    </w:p>
    <w:p>
      <w:pPr>
        <w:pStyle w:val="ListBullet"/>
      </w:pPr>
      <w:r>
        <w:t>Annahme Kunigundes am 14.04.2026.</w:t>
      </w:r>
    </w:p>
    <w:p>
      <w:pPr>
        <w:pStyle w:val="Heading3"/>
      </w:pPr>
      <w:r>
        <w:rPr>
          <w:rFonts w:ascii="Times New Roman" w:hAnsi="Times New Roman"/>
        </w:rPr>
        <w:t>2. Zugang und Annahmefrist</w:t>
      </w:r>
    </w:p>
    <w:p>
      <w:pPr>
        <w:pStyle w:val="ListBullet"/>
      </w:pPr>
      <w:r>
        <w:t>"Montagabend" als unscharfe Frist.</w:t>
      </w:r>
    </w:p>
    <w:p>
      <w:pPr>
        <w:pStyle w:val="ListBullet"/>
      </w:pPr>
      <w:r>
        <w:t>§ 130 Abs. 1 BGB: Zugang im Machtbereich des Empfängers; Sphaerentheorie zum technischen Zustellweg.</w:t>
      </w:r>
    </w:p>
    <w:p>
      <w:pPr>
        <w:pStyle w:val="ListBullet"/>
      </w:pPr>
      <w:r>
        <w:t>Risikosphäre "Postausgang hängt" beim Absender.</w:t>
      </w:r>
    </w:p>
    <w:p>
      <w:pPr>
        <w:pStyle w:val="ListBullet"/>
      </w:pPr>
      <w:r>
        <w:t>E-Mail-Server-Log als Tatsachenbeweis für Zugang.</w:t>
      </w:r>
    </w:p>
    <w:p>
      <w:pPr>
        <w:pStyle w:val="Heading3"/>
      </w:pPr>
      <w:r>
        <w:rPr>
          <w:rFonts w:ascii="Times New Roman" w:hAnsi="Times New Roman"/>
        </w:rPr>
        <w:t>3. Anfechtung</w:t>
      </w:r>
    </w:p>
    <w:p>
      <w:pPr>
        <w:pStyle w:val="ListBullet"/>
      </w:pPr>
      <w:r>
        <w:t>§ 119 Abs. 1 BGB Erklärungsirrtum vs. § 119 Abs. 2 BGB Eigenschaftsirrtum.</w:t>
      </w:r>
    </w:p>
    <w:p>
      <w:pPr>
        <w:pStyle w:val="ListBullet"/>
      </w:pPr>
      <w:r>
        <w:t>Abgrenzung Erklaerungs-/Kalkulationsirrtum: Bei der Praegepresse spricht die Tippfehlertheorie Adelheids für Erklärungsirrtum, aber das Zahlenpaar 1.480/14.800 ist auch als interner Kalkulationsfehler erklärbar.</w:t>
      </w:r>
    </w:p>
    <w:p>
      <w:pPr>
        <w:pStyle w:val="ListBullet"/>
      </w:pPr>
      <w:r>
        <w:t>Kausalität: Adelheid hätte bei richtigem Preis überhaupt nicht angeboten.</w:t>
      </w:r>
    </w:p>
    <w:p>
      <w:pPr>
        <w:pStyle w:val="ListBullet"/>
      </w:pPr>
      <w:r>
        <w:t>Frist § 121 BGB: unverzüglich nach Kenntnisnahme; gewahrt durch Schreiben vom 18.04.2026 (vier Tage nach Reinigung).</w:t>
      </w:r>
    </w:p>
    <w:p>
      <w:pPr>
        <w:pStyle w:val="ListBullet"/>
      </w:pPr>
      <w:r>
        <w:t>§ 122 BGB Schadenersatz: Vertrauensschaden Kunigundes (entgangener Stift-Falkenau-Auftrag).</w:t>
      </w:r>
    </w:p>
    <w:p>
      <w:pPr>
        <w:pStyle w:val="Heading3"/>
      </w:pPr>
      <w:r>
        <w:rPr>
          <w:rFonts w:ascii="Times New Roman" w:hAnsi="Times New Roman"/>
        </w:rPr>
        <w:t>4. Minderjaehrigenrecht</w:t>
      </w:r>
    </w:p>
    <w:p>
      <w:pPr>
        <w:pStyle w:val="ListBullet"/>
      </w:pPr>
      <w:r>
        <w:t>§ 107 BGB: nicht lediglich vorteilhaftes Geschäft, Einwilligung erforderlich.</w:t>
      </w:r>
    </w:p>
    <w:p>
      <w:pPr>
        <w:pStyle w:val="ListBullet"/>
      </w:pPr>
      <w:r>
        <w:t>§ 108 BGB: schwebende Unwirksamkeit ohne Einwilligung, Genehmigung oder Verweigerung. Vierwochenfrist nach Aufforderung des Händlers.</w:t>
      </w:r>
    </w:p>
    <w:p>
      <w:pPr>
        <w:pStyle w:val="ListBullet"/>
      </w:pPr>
      <w:r>
        <w:t>§ 110 BGB ("Taschengeldparagraph"): Bewirken mit Mitteln zur freien Verfügung. Hier nur 240 EUR aus Jugendkonto bewirkt; 380 EUR Ratenrest noch nicht.</w:t>
      </w:r>
    </w:p>
    <w:p>
      <w:pPr>
        <w:pStyle w:val="ListBullet"/>
      </w:pPr>
      <w:r>
        <w:t>Konsequenz: Vertrag insgesamt schwebend unwirksam, weil Bewirkung nicht vollständig. Ratenzahlungs-Schuldzusage ist eigener Verpflichtungstatbestand und nicht von § 110 BGB gedeckt.</w:t>
      </w:r>
    </w:p>
    <w:p>
      <w:pPr>
        <w:pStyle w:val="Heading3"/>
      </w:pPr>
      <w:r>
        <w:rPr>
          <w:rFonts w:ascii="Times New Roman" w:hAnsi="Times New Roman"/>
        </w:rPr>
        <w:t>5. Stellvertretung</w:t>
      </w:r>
    </w:p>
    <w:p>
      <w:pPr>
        <w:pStyle w:val="ListBullet"/>
      </w:pPr>
      <w:r>
        <w:t>§ 167 Abs. 1 BGB Aussenvollmacht.</w:t>
      </w:r>
    </w:p>
    <w:p>
      <w:pPr>
        <w:pStyle w:val="ListBullet"/>
      </w:pPr>
      <w:r>
        <w:t>Vollmachtsumfang nach Wortlaut: Werkstattbedarf, Ersatzteile, Verbrauchsmaterialien. Pressezubehör subsumierbar.</w:t>
      </w:r>
    </w:p>
    <w:p>
      <w:pPr>
        <w:pStyle w:val="ListBullet"/>
      </w:pPr>
      <w:r>
        <w:t>Innenbeschränkung 8.000 EUR grundsätzlich nicht im Aussenverhaeltnis wirksam.</w:t>
      </w:r>
    </w:p>
    <w:p>
      <w:pPr>
        <w:pStyle w:val="ListBullet"/>
      </w:pPr>
      <w:r>
        <w:t>Missbrauch der Vertretungsmacht (Evidenz oder Kollusion) als Ausnahme. Hier Beweisproblem.</w:t>
      </w:r>
    </w:p>
    <w:p>
      <w:pPr>
        <w:pStyle w:val="ListBullet"/>
      </w:pPr>
      <w:r>
        <w:t>Pflichtverletzung des Hildebrand im Innenverhältnis (Arbeitsvertrag) erkennbar; arbeitsrechtliche Reaktion zu prüfen.</w:t>
      </w:r>
    </w:p>
    <w:p>
      <w:pPr>
        <w:pStyle w:val="Heading3"/>
      </w:pPr>
      <w:r>
        <w:rPr>
          <w:rFonts w:ascii="Times New Roman" w:hAnsi="Times New Roman"/>
        </w:rPr>
        <w:t>6. Bedingung</w:t>
      </w:r>
    </w:p>
    <w:p>
      <w:pPr>
        <w:pStyle w:val="ListBullet"/>
      </w:pPr>
      <w:r>
        <w:t>Quittungsblock-Zettel: Wortlaut spricht für Bedingung, Kontext (Smalltalk) und nachfolgender Vertragsverlauf (vorbehaltloses Lieferangebot) gegen Bedingung.</w:t>
      </w:r>
    </w:p>
    <w:p>
      <w:pPr>
        <w:pStyle w:val="ListBullet"/>
      </w:pPr>
      <w:r>
        <w:t>§ 158 Abs. 1 BGB aufschiebende Bedingung wäre zu prüfen, wenn die Bedingungsthese durchgehalten wird.</w:t>
      </w:r>
    </w:p>
    <w:p>
      <w:pPr>
        <w:pStyle w:val="ListBullet"/>
      </w:pPr>
      <w:r>
        <w:t>Eintritt Bedingung 16.04.2026 (Stift-Falkenau-Bestätigung mündlich) oder erst bei schriftlicher Auftragsbestätigung?</w:t>
      </w:r>
    </w:p>
    <w:p>
      <w:pPr>
        <w:pStyle w:val="Heading3"/>
      </w:pPr>
      <w:r>
        <w:rPr>
          <w:rFonts w:ascii="Times New Roman" w:hAnsi="Times New Roman"/>
        </w:rPr>
        <w:t>7. Form und § 138 BGB</w:t>
      </w:r>
    </w:p>
    <w:p>
      <w:pPr>
        <w:pStyle w:val="ListBullet"/>
      </w:pPr>
      <w:r>
        <w:t>Form: § 311b BGB nicht einschlägig, weil kein Grundstueck oder grundstuecksgleiches Recht Vertragsgegenstand.</w:t>
      </w:r>
    </w:p>
    <w:p>
      <w:pPr>
        <w:pStyle w:val="ListBullet"/>
      </w:pPr>
      <w:r>
        <w:t>§ 138 BGB: nur prüfen, aber nicht künstlich aufblähen; Wert offen.</w:t>
      </w:r>
    </w:p>
    <w:p>
      <w:pPr>
        <w:pStyle w:val="Heading3"/>
      </w:pPr>
      <w:r>
        <w:rPr>
          <w:rFonts w:ascii="Times New Roman" w:hAnsi="Times New Roman"/>
        </w:rPr>
        <w:t>8. Arbeitsrechtliche Kündigung Hildebrand</w:t>
      </w:r>
    </w:p>
    <w:p>
      <w:pPr>
        <w:pStyle w:val="ListBullet"/>
      </w:pPr>
      <w:r>
        <w:t>§ 623 BGB schliesst elektronische Form aus.</w:t>
      </w:r>
    </w:p>
    <w:p>
      <w:pPr>
        <w:pStyle w:val="ListBullet"/>
      </w:pPr>
      <w:r>
        <w:t>§ 46h ArbGG seit 17.07.2024 Formfiktion für elektronisch eingereichte Schriftsätze. Achtung: nicht allgemeine Erlaubnis zur E-Mail-Kündigung.</w:t>
      </w:r>
    </w:p>
    <w:p>
      <w:pPr>
        <w:pStyle w:val="ListBullet"/>
      </w:pPr>
      <w:r>
        <w:t>§ 174 BGB Originalvollmacht.</w:t>
      </w:r>
    </w:p>
    <w:p>
      <w:pPr>
        <w:pStyle w:val="ListBullet"/>
      </w:pPr>
      <w:r>
        <w:t>Zustellung/Mitteilung an Hildebrand als eigenes Tatbestandsmerkmal.</w:t>
      </w:r>
    </w:p>
    <w:p>
      <w:pPr>
        <w:pStyle w:val="Heading2"/>
      </w:pPr>
      <w:r>
        <w:rPr>
          <w:rFonts w:ascii="Times New Roman" w:hAnsi="Times New Roman"/>
        </w:rPr>
        <w:t>Gewünschter Output</w:t>
      </w:r>
    </w:p>
    <w:p>
      <w:pPr>
        <w:pStyle w:val="ListNumber"/>
      </w:pPr>
      <w:r>
        <w:rPr>
          <w:b/>
        </w:rPr>
        <w:t>Themenkarte</w:t>
      </w:r>
      <w:r>
        <w:t xml:space="preserve"> mit Priorisierung hoch/mittel/niedrig (vgl. 09_anspruchsmatrix_roh.md).</w:t>
      </w:r>
    </w:p>
    <w:p>
      <w:pPr>
        <w:pStyle w:val="ListNumber"/>
      </w:pPr>
      <w:r>
        <w:rPr>
          <w:b/>
        </w:rPr>
        <w:t>Anspruchsmatrix</w:t>
      </w:r>
      <w:r>
        <w:t xml:space="preserve"> mit Norm, Merkmal, Tatsachenanker und offenem Punkt.</w:t>
      </w:r>
    </w:p>
    <w:p>
      <w:pPr>
        <w:pStyle w:val="ListNumber"/>
      </w:pPr>
      <w:r>
        <w:rPr>
          <w:b/>
        </w:rPr>
        <w:t>Drei Rückfragen an die Mandantin</w:t>
      </w:r>
      <w:r>
        <w:t>, nicht mehr.</w:t>
      </w:r>
    </w:p>
    <w:p>
      <w:pPr>
        <w:pStyle w:val="ListNumber"/>
      </w:pPr>
      <w:r>
        <w:rPr>
          <w:b/>
        </w:rPr>
        <w:t>Kurzes Memo</w:t>
      </w:r>
      <w:r>
        <w:t>, welche Spezial-Skills als nächstes geladen werden sollten.</w:t>
      </w:r>
    </w:p>
    <w:p>
      <w:pPr>
        <w:pStyle w:val="Heading2"/>
      </w:pPr>
      <w:r>
        <w:rPr>
          <w:rFonts w:ascii="Times New Roman" w:hAnsi="Times New Roman"/>
        </w:rPr>
        <w:t xml:space="preserve">Was das Plugin </w:t>
      </w:r>
      <w:r>
        <w:rPr>
          <w:rFonts w:ascii="Times New Roman" w:hAnsi="Times New Roman"/>
          <w:b/>
        </w:rPr>
        <w:t>nicht</w:t>
      </w:r>
      <w:r>
        <w:rPr>
          <w:rFonts w:ascii="Times New Roman" w:hAnsi="Times New Roman"/>
        </w:rPr>
        <w:t xml:space="preserve"> soll</w:t>
      </w:r>
    </w:p>
    <w:p>
      <w:pPr>
        <w:pStyle w:val="ListBullet"/>
      </w:pPr>
      <w:r>
        <w:t>Eine abschliessende Subsumtion mit "Anspruch besteht" oder "kein Anspruch" abgeben.</w:t>
      </w:r>
    </w:p>
    <w:p>
      <w:pPr>
        <w:pStyle w:val="ListBullet"/>
      </w:pPr>
      <w:r>
        <w:t>Eine pauschale Empfehlung zur Klage oder Klageabweisung ohne Pruefung der Stift-Falkenau-Lage.</w:t>
      </w:r>
    </w:p>
    <w:p>
      <w:pPr>
        <w:pStyle w:val="ListBullet"/>
      </w:pPr>
      <w:r>
        <w:t>Die Frage "Soll Kunigunde Hildebrand kündigen?" beantworten, ohne arbeitsrechtliche Spezialprüfung mit eigenem Memo.</w:t>
      </w:r>
    </w:p>
    <w:p>
      <w:pPr>
        <w:pStyle w:val="ListBullet"/>
      </w:pPr>
      <w:r>
        <w:t>Die Anfechtungsfrage Adelheids ohne Beachtung der Verspaetungsfrage entscheiden.</w:t>
      </w:r>
    </w:p>
    <w:p>
      <w:pPr>
        <w:pStyle w:val="Heading2"/>
      </w:pPr>
      <w:r>
        <w:rPr>
          <w:rFonts w:ascii="Times New Roman" w:hAnsi="Times New Roman"/>
        </w:rPr>
        <w:t>Spezialfallen, die das Plugin testen soll</w:t>
      </w:r>
    </w:p>
    <w:p>
      <w:pPr>
        <w:pStyle w:val="ListBullet"/>
      </w:pPr>
      <w:r>
        <w:rPr>
          <w:b/>
        </w:rPr>
        <w:t>"Annahme abgegeben gleich Annahme zugegangen"</w:t>
      </w:r>
      <w:r>
        <w:t xml:space="preserve"> – falsch. § 130 BGB unterscheidet.</w:t>
      </w:r>
    </w:p>
    <w:p>
      <w:pPr>
        <w:pStyle w:val="ListBullet"/>
      </w:pPr>
      <w:r>
        <w:rPr>
          <w:b/>
        </w:rPr>
        <w:t>"§ 110 BGB heilt jeden Minderjaehrigenkauf"</w:t>
      </w:r>
      <w:r>
        <w:t xml:space="preserve"> – falsch. Nur bei vollständigem Bewirken aus zugeordneten Mitteln.</w:t>
      </w:r>
    </w:p>
    <w:p>
      <w:pPr>
        <w:pStyle w:val="ListBullet"/>
      </w:pPr>
      <w:r>
        <w:rPr>
          <w:b/>
        </w:rPr>
        <w:t>"Innenbeschränkung Vollmacht wirkt auch nach aussen"</w:t>
      </w:r>
      <w:r>
        <w:t xml:space="preserve"> – falsch ohne Evidenz/Kollusion.</w:t>
      </w:r>
    </w:p>
    <w:p>
      <w:pPr>
        <w:pStyle w:val="ListBullet"/>
      </w:pPr>
      <w:r>
        <w:rPr>
          <w:b/>
        </w:rPr>
        <w:t>"Quittungsblock-Zettel ist immer Bedingung"</w:t>
      </w:r>
      <w:r>
        <w:t xml:space="preserve"> – falsch ohne Auslegung im Kontext.</w:t>
      </w:r>
    </w:p>
    <w:p>
      <w:pPr>
        <w:pStyle w:val="ListBullet"/>
      </w:pPr>
      <w:r>
        <w:rPr>
          <w:b/>
        </w:rPr>
        <w:t>"Schriftsatzkündigung über beA ohne qES erfasst alles"</w:t>
      </w:r>
      <w:r>
        <w:t xml:space="preserve"> – falsch wegen § 623, § 174 BGB.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