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Aktennachtrag: beA, qES und Schriftsatzkündigung</w:t>
      </w:r>
    </w:p>
    <w:p>
      <w:pPr>
        <w:pStyle w:val="Heading2"/>
      </w:pPr>
      <w:r>
        <w:rPr>
          <w:rFonts w:ascii="Times New Roman" w:hAnsi="Times New Roman"/>
        </w:rPr>
        <w:t>Eingang in der Kanzlei</w:t>
      </w:r>
    </w:p>
    <w:p>
      <w:pPr>
        <w:jc w:val="left"/>
      </w:pPr>
      <w:r>
        <w:rPr>
          <w:b/>
        </w:rPr>
        <w:t>Datum:</w:t>
      </w:r>
      <w:r>
        <w:t xml:space="preserve"> 08.05.2026</w:t>
      </w:r>
    </w:p>
    <w:p>
      <w:pPr>
        <w:jc w:val="left"/>
      </w:pPr>
      <w:r>
        <w:rPr>
          <w:b/>
        </w:rPr>
        <w:t>Bearbeiterin:</w:t>
      </w:r>
      <w:r>
        <w:t xml:space="preserve"> RAin Dr. Ottilie Steinacker</w:t>
      </w:r>
    </w:p>
    <w:p>
      <w:pPr>
        <w:jc w:val="left"/>
      </w:pPr>
      <w:r>
        <w:rPr>
          <w:b/>
        </w:rPr>
        <w:t>Telefonnotiz:</w:t>
      </w:r>
      <w:r>
        <w:t xml:space="preserve"> Kunigunde Rabenhaupt ruft um 16:42 Uhr an. Sie sagt, Hildebrand Fuchs sei "jetzt endgültig nicht mehr tragbar". Er habe in einer Lieferantenrunde behauptet, er könne auch ohne Frau Rabenhaupt entscheiden, und habe die Bestellung bei der Wendelbert Eisenhut GmbH trotz mehrfacher Rückfragen weiter als "von der Inhaberin abgesegnet" bezeichnet.</w:t>
      </w:r>
    </w:p>
    <w:p>
      <w:pPr>
        <w:jc w:val="left"/>
      </w:pPr>
      <w:r>
        <w:t>Frau Rabenhaupt will wissen, ob die Werkstatt im laufenden arbeitsgerichtlichen Urteilsverfahren "gleich im Schriftsatz" kündigen könne. Hintergrund: Gegen Hildebrand läuft seit April 2026 ein arbeitsgerichtliches Verfahren über die Herausgabe eines Werkstattschlüssels und die Nutzung des internen Bestellkontos. Ein Gütetermin ist auf den 18.06.2026 bestimmt.</w:t>
      </w:r>
    </w:p>
    <w:p>
      <w:pPr>
        <w:pStyle w:val="Heading2"/>
      </w:pPr>
      <w:r>
        <w:rPr>
          <w:rFonts w:ascii="Times New Roman" w:hAnsi="Times New Roman"/>
        </w:rPr>
        <w:t>Fragmentsammlung aus der Kanzleiakte</w:t>
      </w:r>
    </w:p>
    <w:p>
      <w:pPr>
        <w:pStyle w:val="Heading3"/>
      </w:pPr>
      <w:r>
        <w:rPr>
          <w:rFonts w:ascii="Times New Roman" w:hAnsi="Times New Roman"/>
        </w:rPr>
        <w:t>E-Mail von Kunigunde Rabenhaupt an RAin Dr. Steinacker</w:t>
      </w:r>
    </w:p>
    <w:p>
      <w:pPr>
        <w:jc w:val="left"/>
      </w:pPr>
      <w:r>
        <w:rPr>
          <w:b/>
        </w:rPr>
        <w:t>Von:</w:t>
      </w:r>
      <w:r>
        <w:t xml:space="preserve"> Kunigunde Rabenhaupt</w:t>
      </w:r>
    </w:p>
    <w:p>
      <w:pPr>
        <w:jc w:val="left"/>
      </w:pPr>
      <w:r>
        <w:rPr>
          <w:b/>
        </w:rPr>
        <w:t>An:</w:t>
      </w:r>
      <w:r>
        <w:t xml:space="preserve"> Dr. Ottilie Steinacker</w:t>
      </w:r>
    </w:p>
    <w:p>
      <w:pPr>
        <w:jc w:val="left"/>
      </w:pPr>
      <w:r>
        <w:rPr>
          <w:b/>
        </w:rPr>
        <w:t>Datum:</w:t>
      </w:r>
      <w:r>
        <w:t xml:space="preserve"> 07.05.2026, 21:13 Uhr</w:t>
      </w:r>
    </w:p>
    <w:p>
      <w:pPr>
        <w:jc w:val="left"/>
      </w:pPr>
      <w:r>
        <w:rPr>
          <w:b/>
        </w:rPr>
        <w:t>Betreff:</w:t>
      </w:r>
      <w:r>
        <w:t xml:space="preserve"> Fuchs / Kündigung / kann das über Gericht gehen?</w:t>
      </w:r>
    </w:p>
    <w:p>
      <w:pPr>
        <w:jc w:val="left"/>
      </w:pPr>
      <w:r>
        <w:t>Frau Doktor,</w:t>
      </w:r>
    </w:p>
    <w:p>
      <w:pPr>
        <w:jc w:val="left"/>
      </w:pPr>
      <w:r>
        <w:t>ich will nicht noch einen Boten losschicken, wenn wir sowieso beim Arbeitsgericht sind. Können Sie in dem nächsten Schriftsatz reinschreiben, dass ich Herrn Fuchs kündige? Ich unterschreibe Ihnen alles, wenn es sein muss. Ich habe aber morgen keinen Drucker und bin ab 6 Uhr auf dem Markt.</w:t>
      </w:r>
    </w:p>
    <w:p>
      <w:pPr>
        <w:jc w:val="left"/>
      </w:pPr>
      <w:r>
        <w:t>Mir ist wichtig: Hildebrand soll es nicht so drehen können, dass die Kündigung "nicht echt" ist. Wenn man das aus Ihrem Anwaltspostfach versendet, ist das doch sicherer als ein Brief, oder?</w:t>
      </w:r>
    </w:p>
    <w:p>
      <w:pPr>
        <w:jc w:val="left"/>
      </w:pPr>
      <w:r>
        <w:t>Viele Grüße</w:t>
      </w:r>
    </w:p>
    <w:p>
      <w:pPr>
        <w:jc w:val="left"/>
      </w:pPr>
      <w:r>
        <w:t>Kunigunde Rabenhaupt</w:t>
      </w:r>
    </w:p>
    <w:p>
      <w:pPr>
        <w:pStyle w:val="Heading3"/>
      </w:pPr>
      <w:r>
        <w:rPr>
          <w:rFonts w:ascii="Times New Roman" w:hAnsi="Times New Roman"/>
        </w:rPr>
        <w:t>Entwurfsnotiz der Referendarstation</w:t>
      </w:r>
    </w:p>
    <w:p>
      <w:pPr>
        <w:jc w:val="left"/>
      </w:pPr>
      <w:r>
        <w:rPr>
          <w:b/>
        </w:rPr>
        <w:t>Balduin Mertel, 08.05.2026, 09:40 Uhr</w:t>
      </w:r>
    </w:p>
    <w:p>
      <w:pPr>
        <w:jc w:val="left"/>
      </w:pPr>
      <w:r>
        <w:t>Vorschlag: Kündigung im Schriftsatz an ArbG Wendelheim erklären. Schriftsatz wird einfach signiert und über beA aus dem persönlichen Postfach von RAin Dr. Steinacker eingereicht. Keine qES geplant, weil beA sicherer Übermittlungsweg. Zusatz am Ende:</w:t>
      </w:r>
    </w:p>
    <w:p>
      <w:pPr>
        <w:ind w:left="567"/>
      </w:pPr>
      <w:r>
        <w:rPr>
          <w:i/>
        </w:rPr>
        <w:t>Namens und in Vollmacht der Antragstellerin kündigen wir das Arbeitsverhältnis mit Herrn Hildebrand Fuchs vorsorglich ordentlich zum nächstmöglichen Termin, hilfsweise außerordentlich fristlos.</w:t>
      </w:r>
    </w:p>
    <w:p>
      <w:pPr>
        <w:jc w:val="left"/>
      </w:pPr>
      <w:r>
        <w:t>Frage: Reicht das nach § 46h ArbGG? § 623 BGB schließt elektronische Form aus, aber § 46h Satz 2 sagt wohl trotzdem Formfiktion. Muss Originalvollmacht mitgeschickt werden? Frau Rabenhaupt kann eine Vollmacht heute handschriftlich unterschreiben und als Scan mailen. Original liegt dann erst Montag in der Kanzlei.</w:t>
      </w:r>
    </w:p>
    <w:p>
      <w:pPr>
        <w:pStyle w:val="Heading3"/>
      </w:pPr>
      <w:r>
        <w:rPr>
          <w:rFonts w:ascii="Times New Roman" w:hAnsi="Times New Roman"/>
        </w:rPr>
        <w:t>Kanzleivermerk Ottilie Steinacker</w:t>
      </w:r>
    </w:p>
    <w:p>
      <w:pPr>
        <w:jc w:val="left"/>
      </w:pPr>
      <w:r>
        <w:t>Nicht vorschnell abschicken. Prüfen:</w:t>
      </w:r>
    </w:p>
    <w:p>
      <w:pPr>
        <w:pStyle w:val="ListNumber"/>
      </w:pPr>
      <w:r>
        <w:t>Ist das arbeitsgerichtliche Verfahren überhaupt der richtige Rahmen für eine Kündigungserklärung oder braucht es eine gesonderte Erklärung?</w:t>
      </w:r>
    </w:p>
    <w:p>
      <w:pPr>
        <w:pStyle w:val="ListNumber"/>
      </w:pPr>
      <w:r>
        <w:t>Ist die Kündigung im Schriftsatz klar genug oder zu sehr im Hilfsantrag versteckt?</w:t>
      </w:r>
    </w:p>
    <w:p>
      <w:pPr>
        <w:pStyle w:val="ListNumber"/>
      </w:pPr>
      <w:r>
        <w:t>§ 46h ArbGG seit 17.07.2024: elektronische Einreichung nach § 46c ArbGG plus Zustellung/Mitteilung an Empfänger.</w:t>
      </w:r>
    </w:p>
    <w:p>
      <w:pPr>
        <w:pStyle w:val="ListNumber"/>
      </w:pPr>
      <w:r>
        <w:t>§ 623 BGB: direkte E-Mail/beA-Nachricht an Arbeitnehmer reicht nicht. Formfiktion nur als prozessualer Sonderpfad.</w:t>
      </w:r>
    </w:p>
    <w:p>
      <w:pPr>
        <w:pStyle w:val="ListNumber"/>
      </w:pPr>
      <w:r>
        <w:t>§ 174 BGB: Wenn ich als Vertreterin kündige und keine Originalvollmacht vorgelegt wird, kann Hildebrand unverzüglich zurückweisen. Scan reicht dafür eher nicht. Mögliche Lösung: Kündigung durch Frau Rabenhaupt im Papieroriginal zusätzlich per Boten oder Originalvollmacht beifügen.</w:t>
      </w:r>
    </w:p>
    <w:p>
      <w:pPr>
        <w:pStyle w:val="ListNumber"/>
      </w:pPr>
      <w:r>
        <w:t>Zugang: Nicht nur Eingang beim Gericht. Erforderlich ist Zustellung oder Mitteilung an Hildebrand bzw. seinen Prozessbevollmächtigten.</w:t>
      </w:r>
    </w:p>
    <w:p>
      <w:pPr>
        <w:pStyle w:val="Heading3"/>
      </w:pPr>
      <w:r>
        <w:rPr>
          <w:rFonts w:ascii="Times New Roman" w:hAnsi="Times New Roman"/>
        </w:rPr>
        <w:t>beA-Ausgangsjournal als Aktennotiz</w:t>
      </w:r>
    </w:p>
    <w:p>
      <w:pPr>
        <w:jc w:val="left"/>
      </w:pPr>
      <w:r>
        <w:rPr>
          <w:b/>
        </w:rPr>
        <w:t>Noch nicht versendet.</w:t>
      </w:r>
      <w:r>
        <w:t xml:space="preserve"> Entwurf liegt im beA-Postausgang unter "Rabenhaupt ./. Fuchs, ArbG Wendelheim 3 Ca 118/26". Der Schriftsatz ist nicht qualifiziert elektronisch signiert. Die einfache Signatur lautet:</w:t>
      </w:r>
    </w:p>
    <w:p>
      <w:pPr>
        <w:jc w:val="left"/>
      </w:pPr>
      <w:r>
        <w:t>Dr. Ottilie Steinacker</w:t>
      </w:r>
    </w:p>
    <w:p>
      <w:pPr>
        <w:jc w:val="left"/>
      </w:pPr>
      <w:r>
        <w:t>Rechtsanwältin</w:t>
      </w:r>
    </w:p>
    <w:p>
      <w:pPr>
        <w:jc w:val="left"/>
      </w:pPr>
      <w:r>
        <w:t>Als Anlagen sind vorgesehen:</w:t>
      </w:r>
    </w:p>
    <w:p>
      <w:pPr>
        <w:pStyle w:val="ListBullet"/>
      </w:pPr>
      <w:r>
        <w:t>Vollmacht Kunigunde Rabenhaupt vom 08.05.2026, bislang nur Scan</w:t>
      </w:r>
    </w:p>
    <w:p>
      <w:pPr>
        <w:pStyle w:val="ListBullet"/>
      </w:pPr>
      <w:r>
        <w:t>Abmahnung vom 22.04.2026, Papieroriginal in der Kanzleiakte</w:t>
      </w:r>
    </w:p>
    <w:p>
      <w:pPr>
        <w:pStyle w:val="ListBullet"/>
      </w:pPr>
      <w:r>
        <w:t>Ausdruck der Lieferanten-Mail der Wendelbert Eisenhut GmbH vom 29.04.2026</w:t>
      </w:r>
    </w:p>
    <w:p>
      <w:pPr>
        <w:pStyle w:val="Heading3"/>
      </w:pPr>
      <w:r>
        <w:rPr>
          <w:rFonts w:ascii="Times New Roman" w:hAnsi="Times New Roman"/>
        </w:rPr>
        <w:t>Handschriftlicher Randvermerk von Kunigunde Rabenhaupt</w:t>
      </w:r>
    </w:p>
    <w:p>
      <w:pPr>
        <w:jc w:val="left"/>
      </w:pPr>
      <w:r>
        <w:t>Ich möchte nicht, dass Hildebrand nur wegen Formalien weiter hier herumspaziert. Wenn es wirklich Zweifel gibt, dann bitte zweigleisig: Papierkündigung mit Boten und Schriftsatz ans Gericht. Aber ich will wissen, welche Variante am Ende rechtlich sauberer ist und ob wir uns mit einer doppelten Erklärung widersprechen.</w:t>
      </w:r>
    </w:p>
    <w:p>
      <w:pPr>
        <w:pStyle w:val="Heading2"/>
      </w:pPr>
      <w:r>
        <w:rPr>
          <w:rFonts w:ascii="Times New Roman" w:hAnsi="Times New Roman"/>
        </w:rPr>
        <w:t>Erwartete Prüfpunkte</w:t>
      </w:r>
    </w:p>
    <w:p>
      <w:pPr>
        <w:pStyle w:val="ListBullet"/>
      </w:pPr>
      <w:r>
        <w:t>§ 126 BGB, § 126a BGB und § 623 BGB sauber trennen</w:t>
      </w:r>
    </w:p>
    <w:p>
      <w:pPr>
        <w:pStyle w:val="ListBullet"/>
      </w:pPr>
      <w:r>
        <w:t>beA-Einreichung nach § 46c ArbGG nicht mit materieller qES nach § 126a BGB verwechseln</w:t>
      </w:r>
    </w:p>
    <w:p>
      <w:pPr>
        <w:pStyle w:val="ListBullet"/>
      </w:pPr>
      <w:r>
        <w:t>§ 46h ArbGG als neue Formfiktion prüfen, aber nicht als allgemeine Erlaubnis zur E-Mail-Kündigung behandeln</w:t>
      </w:r>
    </w:p>
    <w:p>
      <w:pPr>
        <w:pStyle w:val="ListBullet"/>
      </w:pPr>
      <w:r>
        <w:t>Zustellung oder Mitteilung an den richtigen Empfänger als eigenes Tatbestandsmerkmal prüfen</w:t>
      </w:r>
    </w:p>
    <w:p>
      <w:pPr>
        <w:pStyle w:val="ListBullet"/>
      </w:pPr>
      <w:r>
        <w:t>§ 174 BGB und Originalvollmacht als Rückweisungsrisiko ernst nehmen</w:t>
      </w:r>
    </w:p>
    <w:p>
      <w:pPr>
        <w:pStyle w:val="ListBullet"/>
      </w:pPr>
      <w:r>
        <w:t>Parallelstrategie bewerten: Papieroriginal per Bote, Schriftsatz mit Formfiktion, klare Aktennotiz zur Reihenfolge und zum Zugang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