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Notizzettel Werkstattmeister Hildebrand Fuchs</w:t>
      </w:r>
    </w:p>
    <w:p>
      <w:pPr>
        <w:jc w:val="left"/>
      </w:pPr>
      <w:r>
        <w:rPr>
          <w:b/>
        </w:rPr>
        <w:t>Fund:</w:t>
      </w:r>
      <w:r>
        <w:t xml:space="preserve"> Im Werkstattbüro, Schreibtisch Hildebrand Fuchs, in einem Kalender (DIN A5, Brunnen-Kalender 2026) auf den Seiten der Kalenderwoche 16. Mandantin Kunigunde Rabenhaupt hat die Kalenderseiten am 25.04.2026 abfotografiert; Originalkalender liegt in der Werkstatt.</w:t>
      </w:r>
    </w:p>
    <w:p>
      <w:pPr>
        <w:jc w:val="left"/>
      </w:pPr>
      <w:r>
        <w:rPr>
          <w:b/>
        </w:rPr>
        <w:t>Hinweis:</w:t>
      </w:r>
      <w:r>
        <w:t xml:space="preserve"> Die folgenden Notizen sind handschriftlich und in der Originalkalenderseite nicht förmlich strukturiert. Die Wiedergabe folgt der Reihenfolge im Kalender; bei mehrfacher Auslesbarkeit ist die wahrscheinlichste Lesart gewählt.</w:t>
      </w:r>
    </w:p>
    <w:p/>
    <w:p>
      <w:pPr>
        <w:pStyle w:val="Heading2"/>
      </w:pPr>
      <w:r>
        <w:rPr>
          <w:rFonts w:ascii="Times New Roman" w:hAnsi="Times New Roman"/>
        </w:rPr>
        <w:t>KW 16, Montag 13.04.2026 (Notiz oben links)</w:t>
      </w:r>
    </w:p>
    <w:p>
      <w:pPr>
        <w:pStyle w:val="ListBullet"/>
      </w:pPr>
      <w:r>
        <w:t>"Stift-Auftrag: K. sagt mdl. zugesagt von P. T. (16.4. Bestätigung)"</w:t>
      </w:r>
    </w:p>
    <w:p>
      <w:pPr>
        <w:pStyle w:val="ListBullet"/>
      </w:pPr>
      <w:r>
        <w:t>"AltWerk-Inserat 1480, Bronze unsicher (Mischung gesehen 11.4.). K. will trotzdem."</w:t>
      </w:r>
    </w:p>
    <w:p>
      <w:pPr>
        <w:pStyle w:val="Heading2"/>
      </w:pPr>
      <w:r>
        <w:rPr>
          <w:rFonts w:ascii="Times New Roman" w:hAnsi="Times New Roman"/>
        </w:rPr>
        <w:t>KW 16, Dienstag 14.04.2026</w:t>
      </w:r>
    </w:p>
    <w:p>
      <w:pPr>
        <w:pStyle w:val="ListBullet"/>
      </w:pPr>
      <w:r>
        <w:t>"Krummstab will 14.800. Hat sich angeblich verschrieben. K. sagt: nicht akzeptieren."</w:t>
      </w:r>
    </w:p>
    <w:p>
      <w:pPr>
        <w:pStyle w:val="ListBullet"/>
      </w:pPr>
      <w:r>
        <w:t>"Stift-Bestätigung schriftlich erst Ende Mai. Risiko."</w:t>
      </w:r>
    </w:p>
    <w:p>
      <w:pPr>
        <w:pStyle w:val="ListBullet"/>
      </w:pPr>
      <w:r>
        <w:t>"Pressezubehör: Walzen, Amboss, Bleiablage, Führungen, Öl."</w:t>
      </w:r>
    </w:p>
    <w:p>
      <w:pPr>
        <w:pStyle w:val="Heading2"/>
      </w:pPr>
      <w:r>
        <w:rPr>
          <w:rFonts w:ascii="Times New Roman" w:hAnsi="Times New Roman"/>
        </w:rPr>
        <w:t>KW 16, Mittwoch 15.04.2026 (Notiz mittig)</w:t>
      </w:r>
    </w:p>
    <w:p>
      <w:pPr>
        <w:pStyle w:val="ListBullet"/>
      </w:pPr>
      <w:r>
        <w:t>"Wendelbert jun. heute 13 Uhr. Druckt mich, bis 13:10 zu entscheiden, sonst Vorzugskunde verliert Slot."</w:t>
      </w:r>
    </w:p>
    <w:p>
      <w:pPr>
        <w:pStyle w:val="ListBullet"/>
      </w:pPr>
      <w:r>
        <w:t>"Liste 12.460 brutto. Über 8000 also K. anrufen."</w:t>
      </w:r>
    </w:p>
    <w:p>
      <w:pPr>
        <w:pStyle w:val="ListBullet"/>
      </w:pPr>
      <w:r>
        <w:t>"K. im Termin Irmenstadt. Nicht erreichbar. Mailbox."</w:t>
      </w:r>
    </w:p>
    <w:p>
      <w:pPr>
        <w:pStyle w:val="ListBullet"/>
      </w:pPr>
      <w:r>
        <w:t>"Entscheide selbst. Vollmacht deckt Werkstattbedarf. Stift hängt davon ab. K. wird zustimmen."</w:t>
      </w:r>
    </w:p>
    <w:p>
      <w:pPr>
        <w:pStyle w:val="ListBullet"/>
      </w:pPr>
      <w:r>
        <w:t>"Wendelbert hat zugestimmt: Skonto 2% bei Zahlung bis 23.4."</w:t>
      </w:r>
    </w:p>
    <w:p>
      <w:pPr>
        <w:pStyle w:val="Heading2"/>
      </w:pPr>
      <w:r>
        <w:rPr>
          <w:rFonts w:ascii="Times New Roman" w:hAnsi="Times New Roman"/>
        </w:rPr>
        <w:t>KW 16, Mittwoch 15.04.2026 abends</w:t>
      </w:r>
    </w:p>
    <w:p>
      <w:pPr>
        <w:pStyle w:val="ListBullet"/>
      </w:pPr>
      <w:r>
        <w:t>"K. hat per Signal gefragt 16:22. Ich ehrlich: 12.460. Sie nicht happy."</w:t>
      </w:r>
    </w:p>
    <w:p>
      <w:pPr>
        <w:pStyle w:val="ListBullet"/>
      </w:pPr>
      <w:r>
        <w:t>"Notiz an Vollmacht setzen: K. im Termin, später erklären. Sicherheitshalber dokumentieren."</w:t>
      </w:r>
    </w:p>
    <w:p>
      <w:pPr>
        <w:pStyle w:val="ListBullet"/>
      </w:pPr>
      <w:r>
        <w:t>"Wenn Adelheid die Presse nicht liefert, kann ich Walzen einlagern; Aufwand 3 Std."</w:t>
      </w:r>
    </w:p>
    <w:p>
      <w:pPr>
        <w:pStyle w:val="Heading2"/>
      </w:pPr>
      <w:r>
        <w:rPr>
          <w:rFonts w:ascii="Times New Roman" w:hAnsi="Times New Roman"/>
        </w:rPr>
        <w:t>KW 16, Donnerstag 16.04.2026 (Notiz oben rechts)</w:t>
      </w:r>
    </w:p>
    <w:p>
      <w:pPr>
        <w:pStyle w:val="ListBullet"/>
      </w:pPr>
      <w:r>
        <w:t>"Stift Falkenau: Pater Tellbach hat zugesagt 78.400. Schriftlich Mitte/Ende Mai."</w:t>
      </w:r>
    </w:p>
    <w:p>
      <w:pPr>
        <w:pStyle w:val="ListBullet"/>
      </w:pPr>
      <w:r>
        <w:t>"Giselher in Filiale Erlenstegen, Wendelbert. Sagt K., dass er Messingtypen geholt hat. Ratenzahlung 380. Ohne K. Ärger."</w:t>
      </w:r>
    </w:p>
    <w:p>
      <w:pPr>
        <w:pStyle w:val="Heading2"/>
      </w:pPr>
      <w:r>
        <w:rPr>
          <w:rFonts w:ascii="Times New Roman" w:hAnsi="Times New Roman"/>
        </w:rPr>
        <w:t>KW 16, Freitag 17.04.2026</w:t>
      </w:r>
    </w:p>
    <w:p>
      <w:pPr>
        <w:pStyle w:val="ListBullet"/>
      </w:pPr>
      <w:r>
        <w:t>"Mutter Theudelinde droht mit Familienanwalt wenn 380 nicht weg. K. genervt."</w:t>
      </w:r>
    </w:p>
    <w:p>
      <w:pPr>
        <w:pStyle w:val="ListBullet"/>
      </w:pPr>
      <w:r>
        <w:t>"Bestellschein Wendelbert 22884 unterzeichnet. Spediteur 22.04."</w:t>
      </w:r>
    </w:p>
    <w:p>
      <w:pPr>
        <w:pStyle w:val="Heading2"/>
      </w:pPr>
      <w:r>
        <w:rPr>
          <w:rFonts w:ascii="Times New Roman" w:hAnsi="Times New Roman"/>
        </w:rPr>
        <w:t>KW 16, Samstag 18.04.2026</w:t>
      </w:r>
    </w:p>
    <w:p>
      <w:pPr>
        <w:pStyle w:val="ListBullet"/>
      </w:pPr>
      <w:r>
        <w:t>"Adelheid: Anfechtungsbrief. K. erwägt Anwalt."</w:t>
      </w:r>
    </w:p>
    <w:p>
      <w:pPr>
        <w:pStyle w:val="ListBullet"/>
      </w:pPr>
      <w:r>
        <w:t>"Ich auch?"</w:t>
      </w:r>
    </w:p>
    <w:p>
      <w:pPr>
        <w:pStyle w:val="Heading2"/>
      </w:pPr>
      <w:r>
        <w:rPr>
          <w:rFonts w:ascii="Times New Roman" w:hAnsi="Times New Roman"/>
        </w:rPr>
        <w:t>KW 17, Montag 20.04.2026</w:t>
      </w:r>
    </w:p>
    <w:p>
      <w:pPr>
        <w:pStyle w:val="ListBullet"/>
      </w:pPr>
      <w:r>
        <w:t>"K. hat Mandantenakte angelegt bei Kanzlei Am Torbogen, RAin Steinacker. Erstgespräch 22.04."</w:t>
      </w:r>
    </w:p>
    <w:p>
      <w:pPr>
        <w:pStyle w:val="ListBullet"/>
      </w:pPr>
      <w:r>
        <w:t>"Lieferanten-Mail Wendelbert noch nicht beantwortet. K. weiss noch nicht."</w:t>
      </w:r>
    </w:p>
    <w:p>
      <w:pPr>
        <w:pStyle w:val="Heading2"/>
      </w:pPr>
      <w:r>
        <w:rPr>
          <w:rFonts w:ascii="Times New Roman" w:hAnsi="Times New Roman"/>
        </w:rPr>
        <w:t>KW 17, Dienstag 21.04.2026</w:t>
      </w:r>
    </w:p>
    <w:p>
      <w:pPr>
        <w:pStyle w:val="ListBullet"/>
      </w:pPr>
      <w:r>
        <w:t>"Stille zwischen K. und mir. Eisig. Wendelbert junior fragt über Email, ob Zahlung Donnerstag erfolgt."</w:t>
      </w:r>
    </w:p>
    <w:p>
      <w:pPr>
        <w:pStyle w:val="ListBullet"/>
      </w:pPr>
      <w:r>
        <w:t>"Lieferung Walzen und Co Donnerstag 22.04. Hat K. unterschrieben? Nein, ich."</w:t>
      </w:r>
    </w:p>
    <w:p>
      <w:pPr>
        <w:pStyle w:val="Heading2"/>
      </w:pPr>
      <w:r>
        <w:rPr>
          <w:rFonts w:ascii="Times New Roman" w:hAnsi="Times New Roman"/>
        </w:rPr>
        <w:t>KW 17, Mittwoch 22.04.2026</w:t>
      </w:r>
    </w:p>
    <w:p>
      <w:pPr>
        <w:pStyle w:val="ListBullet"/>
      </w:pPr>
      <w:r>
        <w:t>"Lieferung Spreng 10:14 Uhr angekommen. Ware Lagerplatz 14C, original."</w:t>
      </w:r>
    </w:p>
    <w:p>
      <w:pPr>
        <w:pStyle w:val="ListBullet"/>
      </w:pPr>
      <w:r>
        <w:t>"K. ist beim Anwalt heute."</w:t>
      </w:r>
    </w:p>
    <w:p>
      <w:pPr>
        <w:pStyle w:val="Heading2"/>
      </w:pPr>
      <w:r>
        <w:rPr>
          <w:rFonts w:ascii="Times New Roman" w:hAnsi="Times New Roman"/>
        </w:rPr>
        <w:t>KW 18, Mittwoch 29.04.2026 (Eintrag separater Notizzettel, eingelegt)</w:t>
      </w:r>
    </w:p>
    <w:p>
      <w:pPr>
        <w:pStyle w:val="ListBullet"/>
      </w:pPr>
      <w:r>
        <w:t>"Ich hatte keine andere Wahl. Wenn Stift Falkenau Auftrag kommt, brauchen wir das Zubehör. K. hätte es genauso entschieden."</w:t>
      </w:r>
    </w:p>
    <w:p>
      <w:pPr>
        <w:pStyle w:val="ListBullet"/>
      </w:pPr>
      <w:r>
        <w:t>"Falls Streit eskaliert: ich erkenne die 8000 nicht als öffentlich kommunizierte Grenze an."</w:t>
      </w:r>
    </w:p>
    <w:p>
      <w:pPr>
        <w:pStyle w:val="ListBullet"/>
      </w:pPr>
      <w:r>
        <w:t>"Falls Streit weiter eskaliert: ich habe in 22 Jahren in der Werkstatt mehr Geld eingespart als verbrannt."</w:t>
      </w:r>
    </w:p>
    <w:p/>
    <w:p>
      <w:pPr>
        <w:pStyle w:val="Heading2"/>
      </w:pPr>
      <w:r>
        <w:rPr>
          <w:rFonts w:ascii="Times New Roman" w:hAnsi="Times New Roman"/>
        </w:rPr>
        <w:t>Auswertung der Notizen</w:t>
      </w:r>
    </w:p>
    <w:p>
      <w:pPr>
        <w:pStyle w:val="Heading3"/>
      </w:pPr>
      <w:r>
        <w:rPr>
          <w:rFonts w:ascii="Times New Roman" w:hAnsi="Times New Roman"/>
        </w:rPr>
        <w:t>A. Was die Notizen rechtlich erschweren</w:t>
      </w:r>
    </w:p>
    <w:p>
      <w:pPr>
        <w:pStyle w:val="ListNumber"/>
      </w:pPr>
      <w:r>
        <w:rPr>
          <w:b/>
        </w:rPr>
        <w:t>15.04.2026 morgens:</w:t>
      </w:r>
      <w:r>
        <w:t xml:space="preserve"> "Über 8000 also K. anrufen." — Eingeständnis Hildebrand, dass er die Innengrenze von 8.000 EUR ausdrücklich kannte und einer Rückfragepflicht unterlag.</w:t>
      </w:r>
    </w:p>
    <w:p>
      <w:pPr>
        <w:pStyle w:val="ListNumber"/>
      </w:pPr>
      <w:r>
        <w:rPr>
          <w:b/>
        </w:rPr>
        <w:t>15.04.2026 nachmittags:</w:t>
      </w:r>
      <w:r>
        <w:t xml:space="preserve"> "K. hat per Signal gefragt 16:22. Ich ehrlich: 12.460." — Eingeständnis, dass die Rückfrage erst nach der Bestellung erfolgte. Beachte: Bestellung war 13:08 Uhr, Rückfrage Kunigundes per Signal um 16:22 Uhr.</w:t>
      </w:r>
    </w:p>
    <w:p>
      <w:pPr>
        <w:pStyle w:val="ListNumber"/>
      </w:pPr>
      <w:r>
        <w:rPr>
          <w:b/>
        </w:rPr>
        <w:t>15.04.2026 nachmittags:</w:t>
      </w:r>
      <w:r>
        <w:t xml:space="preserve"> "Notiz an Vollmacht setzen: K. im Termin, später erklären. Sicherheitshalber dokumentieren." — Eingeständnis, dass die handschriftliche Ergänzung der Vollmacht eine nachträgliche Rechtfertigung war, nicht eine zeitnahe Vertretungserklärung.</w:t>
      </w:r>
    </w:p>
    <w:p>
      <w:pPr>
        <w:pStyle w:val="ListNumber"/>
      </w:pPr>
      <w:r>
        <w:rPr>
          <w:b/>
        </w:rPr>
        <w:t>15.04.2026 morgens:</w:t>
      </w:r>
      <w:r>
        <w:t xml:space="preserve"> "Entscheide selbst. Vollmacht deckt Werkstattbedarf. Stift hängt davon ab. K. wird zustimmen." — Hildebrand argumentiert, dass die Vollmacht ihn deckt, und antizipiert die Zustimmung. Das ist eigenmächtig, aber nicht kollusiv.</w:t>
      </w:r>
    </w:p>
    <w:p>
      <w:pPr>
        <w:pStyle w:val="Heading3"/>
      </w:pPr>
      <w:r>
        <w:rPr>
          <w:rFonts w:ascii="Times New Roman" w:hAnsi="Times New Roman"/>
        </w:rPr>
        <w:t>B. Was die Notizen rechtlich erleichtern</w:t>
      </w:r>
    </w:p>
    <w:p>
      <w:pPr>
        <w:pStyle w:val="ListNumber"/>
      </w:pPr>
      <w:r>
        <w:rPr>
          <w:b/>
        </w:rPr>
        <w:t>15.04.2026:</w:t>
      </w:r>
      <w:r>
        <w:t xml:space="preserve"> "Wendelbert hat zugestimmt: Skonto 2% bei Zahlung bis 23.4." — Hildebrand hat einen für die Werkstatt günstigen Skonto erzielt.</w:t>
      </w:r>
    </w:p>
    <w:p>
      <w:pPr>
        <w:pStyle w:val="ListNumber"/>
      </w:pPr>
      <w:r>
        <w:rPr>
          <w:b/>
        </w:rPr>
        <w:t>15.04.2026:</w:t>
      </w:r>
      <w:r>
        <w:t xml:space="preserve"> "Wenn Adelheid die Presse nicht liefert, kann ich Walzen einlagern; Aufwand 3 Std." — Hildebrand hat ein Risikoszenario mitgedacht und Lagerlogistik vorbereitet.</w:t>
      </w:r>
    </w:p>
    <w:p>
      <w:pPr>
        <w:pStyle w:val="ListNumber"/>
      </w:pPr>
      <w:r>
        <w:rPr>
          <w:b/>
        </w:rPr>
        <w:t>16.04.2026:</w:t>
      </w:r>
      <w:r>
        <w:t xml:space="preserve"> "Stift Falkenau: Pater Tellbach hat zugesagt 78.400." — Hildebrand hat die Auftragsbestätigung sofort dokumentiert.</w:t>
      </w:r>
    </w:p>
    <w:p>
      <w:pPr>
        <w:pStyle w:val="ListNumber"/>
      </w:pPr>
      <w:r>
        <w:rPr>
          <w:b/>
        </w:rPr>
        <w:t>29.04.2026:</w:t>
      </w:r>
      <w:r>
        <w:t xml:space="preserve"> "ich habe in 22 Jahren in der Werkstatt mehr Geld eingespart als verbrannt." — Selbsteinschätzung des Werkstattmeisters, aussagekräftig für Mitarbeiterbewertung.</w:t>
      </w:r>
    </w:p>
    <w:p>
      <w:pPr>
        <w:pStyle w:val="Heading3"/>
      </w:pPr>
      <w:r>
        <w:rPr>
          <w:rFonts w:ascii="Times New Roman" w:hAnsi="Times New Roman"/>
        </w:rPr>
        <w:t>C. Was die Notizen für das Innenverhältnis bedeuten</w:t>
      </w:r>
    </w:p>
    <w:p>
      <w:pPr>
        <w:pStyle w:val="ListBullet"/>
      </w:pPr>
      <w:r>
        <w:t>Hildebrand kannte die Innengrenze (Ziffer A.1).</w:t>
      </w:r>
    </w:p>
    <w:p>
      <w:pPr>
        <w:pStyle w:val="ListBullet"/>
      </w:pPr>
      <w:r>
        <w:t>Hildebrand hat sie bewusst überschritten, weil er den Stift-Auftrag und die Notlage als Rechtfertigung sah (Ziffer A.4).</w:t>
      </w:r>
    </w:p>
    <w:p>
      <w:pPr>
        <w:pStyle w:val="ListBullet"/>
      </w:pPr>
      <w:r>
        <w:t xml:space="preserve">Hildebrand hat die Rückfrage erst </w:t>
      </w:r>
      <w:r>
        <w:rPr>
          <w:b/>
        </w:rPr>
        <w:t>nach</w:t>
      </w:r>
      <w:r>
        <w:t xml:space="preserve"> der Bestellung geführt (Ziffer A.2).</w:t>
      </w:r>
    </w:p>
    <w:p>
      <w:pPr>
        <w:pStyle w:val="ListBullet"/>
      </w:pPr>
      <w:r>
        <w:t xml:space="preserve">Hildebrand hat die Ergänzung der Vollmacht </w:t>
      </w:r>
      <w:r>
        <w:rPr>
          <w:b/>
        </w:rPr>
        <w:t>nachträglich</w:t>
      </w:r>
      <w:r>
        <w:t xml:space="preserve"> angebracht, um sich abzusichern (Ziffer A.3).</w:t>
      </w:r>
    </w:p>
    <w:p>
      <w:pPr>
        <w:pStyle w:val="Heading3"/>
      </w:pPr>
      <w:r>
        <w:rPr>
          <w:rFonts w:ascii="Times New Roman" w:hAnsi="Times New Roman"/>
        </w:rPr>
        <w:t>D. Was die Notizen für das Aussenverhaeltnis bedeuten</w:t>
      </w:r>
    </w:p>
    <w:p>
      <w:pPr>
        <w:jc w:val="left"/>
      </w:pPr>
      <w:r>
        <w:t>Die Notizen sind interne Aufzeichnungen Hildebrands. Sie werden Wendelbert Eisenhut jun. nicht bekannt. Das heisst:</w:t>
      </w:r>
    </w:p>
    <w:p>
      <w:pPr>
        <w:pStyle w:val="ListBullet"/>
      </w:pPr>
      <w:r>
        <w:t xml:space="preserve">Eine </w:t>
      </w:r>
      <w:r>
        <w:rPr>
          <w:b/>
        </w:rPr>
        <w:t>Evidenz</w:t>
      </w:r>
      <w:r>
        <w:t xml:space="preserve"> der Innenbeschränkung im Aussenverhaeltnis wird durch diese Notizen nicht zusätzlich begründet.</w:t>
      </w:r>
    </w:p>
    <w:p>
      <w:pPr>
        <w:pStyle w:val="ListBullet"/>
      </w:pPr>
      <w:r>
        <w:t xml:space="preserve">Eine </w:t>
      </w:r>
      <w:r>
        <w:rPr>
          <w:b/>
        </w:rPr>
        <w:t>Kollusion</w:t>
      </w:r>
      <w:r>
        <w:t xml:space="preserve"> liegt nicht nahe, weil Hildebrand sich selbst rechtfertigt, nicht aber mit Wendelbert gemeinsam eine Umgehung plant.</w:t>
      </w:r>
    </w:p>
    <w:p>
      <w:pPr>
        <w:pStyle w:val="Heading3"/>
      </w:pPr>
      <w:r>
        <w:rPr>
          <w:rFonts w:ascii="Times New Roman" w:hAnsi="Times New Roman"/>
        </w:rPr>
        <w:t>E. Praxistipp Mandantin</w:t>
      </w:r>
    </w:p>
    <w:p>
      <w:pPr>
        <w:jc w:val="left"/>
      </w:pPr>
      <w:r>
        <w:t xml:space="preserve">Die Notizen sollten </w:t>
      </w:r>
      <w:r>
        <w:rPr>
          <w:b/>
        </w:rPr>
        <w:t>sicher verwahrt</w:t>
      </w:r>
      <w:r>
        <w:t xml:space="preserve"> werden, idealerweise als Foto plus Original. Sie sind belastend für Hildebrand im Innenverhältnis. Wenn Kunigunde die arbeitsrechtliche Reaktion (Abmahnung, Kündigung) zur Diskussion stellt, sind diese Notizen ein starkes Beweismittel.</w:t>
      </w:r>
    </w:p>
    <w:p>
      <w:pPr>
        <w:jc w:val="left"/>
      </w:pPr>
      <w:r>
        <w:t xml:space="preserve">Die Notizen sind allerdings </w:t>
      </w:r>
      <w:r>
        <w:rPr>
          <w:b/>
        </w:rPr>
        <w:t>nicht ohne weiteres</w:t>
      </w:r>
      <w:r>
        <w:t xml:space="preserve"> verwertbar in einem arbeitsgerichtlichen Verfahren, weil sie aus dem persönlichen Kalender Hildebrands stammen und Persönlichkeitsrechte berühren können. Eine vorsichtige Pruefung der Beweisverwertbarkeit ist erforderlich.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