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Kandidatenlösung Kunigunde Eisenhut</w:t>
      </w:r>
    </w:p>
    <w:p>
      <w:pPr>
        <w:pStyle w:val="Heading2"/>
      </w:pPr>
      <w:r>
        <w:rPr>
          <w:rFonts w:ascii="Times New Roman" w:hAnsi="Times New Roman"/>
        </w:rPr>
        <w:t>Arbeitsstand</w:t>
      </w:r>
    </w:p>
    <w:p>
      <w:pPr>
        <w:jc w:val="left"/>
      </w:pPr>
      <w:r>
        <w:t>Kunigunde erkennt einige BGB-AT-Probleme, ordnet sie aber falsch. Ihr Gutachten ist formal ordentlich, leidet aber an falschen Obersätzen.</w:t>
      </w:r>
    </w:p>
    <w:p>
      <w:pPr>
        <w:pStyle w:val="Heading2"/>
      </w:pPr>
      <w:r>
        <w:rPr>
          <w:rFonts w:ascii="Times New Roman" w:hAnsi="Times New Roman"/>
        </w:rPr>
        <w:t>Lösung</w:t>
      </w:r>
    </w:p>
    <w:p>
      <w:pPr>
        <w:jc w:val="left"/>
      </w:pPr>
      <w:r>
        <w:t>Ein Vertrag könnte zwischen Wendelbert und der Werkstatt zustande gekommen sein. Das Angebot ist das Gebot auf der Plattform, die Annahme erfolgt durch Zuschlag. Der Minderjährige Giselher ist aber beschränkt geschäftsfähig. Nach § 107 BGB braucht er keine Zustimmung, wenn das Geschäft rechtlich vorteilhaft ist. Hier bekommt er Zubehör, sodass ihm ein Vorteil entsteht. Die Zahlungspflicht trifft seine Eltern, weil diese seine gesetzlichen Vertreter sind. Daher ist das Geschäft wirksam.</w:t>
      </w:r>
    </w:p>
    <w:p>
      <w:pPr>
        <w:jc w:val="left"/>
      </w:pPr>
      <w:r>
        <w:t>Eine Anfechtung nach § 119 Abs. 2 BGB scheidet aus. Der Preis ist keine Eigenschaft der Sache. Eine Anfechtung wegen der falschen Artikelnummer kommt nicht in Betracht, weil das nur ein Motivirrtum ist. Die Anfechtungserklärung ist außerdem verspätet, weil drei Tage vergangen sind.</w:t>
      </w:r>
    </w:p>
    <w:p>
      <w:pPr>
        <w:jc w:val="left"/>
      </w:pPr>
      <w:r>
        <w:t>Die Vollmacht des Werkstattmeisters kann man über § 164 BGB lösen. Er hatte keine Vollmacht, aber der Lieferant durfte auf die Werkstattstellung vertrauen. Deshalb haftet die Werkstatt.</w:t>
      </w:r>
    </w:p>
    <w:p>
      <w:pPr>
        <w:pStyle w:val="Heading2"/>
      </w:pPr>
      <w:r>
        <w:rPr>
          <w:rFonts w:ascii="Times New Roman" w:hAnsi="Times New Roman"/>
        </w:rPr>
        <w:t>Fehlerprofil</w:t>
      </w:r>
    </w:p>
    <w:p>
      <w:pPr>
        <w:pStyle w:val="ListBullet"/>
      </w:pPr>
      <w:r>
        <w:t>Erkennt § 107 BGB, verwechselt aber Erwerb eines Gegenstands mit ausschließlich rechtlichem Vorteil.</w:t>
      </w:r>
    </w:p>
    <w:p>
      <w:pPr>
        <w:pStyle w:val="ListBullet"/>
      </w:pPr>
      <w:r>
        <w:t>Verlagerung der Zahlungspflicht auf Eltern ohne Anspruchsgrundlage.</w:t>
      </w:r>
    </w:p>
    <w:p>
      <w:pPr>
        <w:pStyle w:val="ListBullet"/>
      </w:pPr>
      <w:r>
        <w:t>Übergeht schwebende Unwirksamkeit, Genehmigung, Widerruf und § 110 BGB.</w:t>
      </w:r>
    </w:p>
    <w:p>
      <w:pPr>
        <w:pStyle w:val="ListBullet"/>
      </w:pPr>
      <w:r>
        <w:t>Behandelt jede Artikelnummernverwechslung als Motivirrtum, ohne Auslegung und Erklärungsinhalt zu klären.</w:t>
      </w:r>
    </w:p>
    <w:p>
      <w:pPr>
        <w:pStyle w:val="ListBullet"/>
      </w:pPr>
      <w:r>
        <w:t>Drei Tage sind nicht automatisch verspätet; § 121 BGB verlangt eine konkrete Unverzüglichkeitsprüfung.</w:t>
      </w:r>
    </w:p>
    <w:p>
      <w:pPr>
        <w:pStyle w:val="ListBullet"/>
      </w:pPr>
      <w:r>
        <w:t>Rechtsscheinvollmacht wird behauptet, aber nicht mit Zurechnung und Wiederholung unterlegt.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