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Kandidatenlösung Hildegund von Quernheim</w:t>
      </w:r>
    </w:p>
    <w:p>
      <w:pPr>
        <w:pStyle w:val="Heading2"/>
      </w:pPr>
      <w:r>
        <w:rPr>
          <w:rFonts w:ascii="Times New Roman" w:hAnsi="Times New Roman"/>
        </w:rPr>
        <w:t>Vorbemerkung</w:t>
      </w:r>
    </w:p>
    <w:p>
      <w:pPr>
        <w:jc w:val="left"/>
      </w:pPr>
      <w:r>
        <w:t>Hildegund arbeitet solide, aber zu sehr auswendig. Sie prüft alle großen Überschriften, verliert aber die Fallfrage aus dem Blick.</w:t>
      </w:r>
    </w:p>
    <w:p>
      <w:pPr>
        <w:pStyle w:val="Heading2"/>
      </w:pPr>
      <w:r>
        <w:rPr>
          <w:rFonts w:ascii="Times New Roman" w:hAnsi="Times New Roman"/>
        </w:rPr>
        <w:t>Auszug aus dem Gutachten</w:t>
      </w:r>
    </w:p>
    <w:p>
      <w:pPr>
        <w:jc w:val="left"/>
      </w:pPr>
      <w:r>
        <w:t>Der Anspruch auf Zahlung könnte aus § 433 Abs. 2 BGB folgen. Ein Kaufvertrag setzt zwei übereinstimmende Willenserklärungen voraus. Bei Online-Auktionen ist die Einstellung grundsätzlich ein verbindliches Angebot, das durch Zeitablauf und Höchstgebot angenommen wird. Hier muss allerdings geklärt werden, ob das Inserat nicht nur invitatio ad offerendum war.</w:t>
      </w:r>
    </w:p>
    <w:p>
      <w:pPr>
        <w:jc w:val="left"/>
      </w:pPr>
      <w:r>
        <w:t>Giselher ist minderjährig. Das Geschäft ist nicht lediglich rechtlich vorteilhaft, weil er zur Zahlung verpflichtet wird. § 110 BGB könnte greifen, wenn er die Leistung vollständig mit Mitteln bewirkt hat, die ihm zu diesem Zweck oder zur freien Verfügung überlassen wurden. Weil noch nicht vollständig gezahlt wurde, scheidet § 110 BGB wahrscheinlich aus. Das Geschäft ist schwebend unwirksam.</w:t>
      </w:r>
    </w:p>
    <w:p>
      <w:pPr>
        <w:jc w:val="left"/>
      </w:pPr>
      <w:r>
        <w:t>Die Anfechtung ist möglich, wenn ein Erklärungsirrtum vorliegt. Die falsche Artikelnummer könnte ein Erklärungsirrtum sein. Allerdings muss die Werkstatt die Anfechtung gegenüber dem richtigen Gegner erklären.</w:t>
      </w:r>
    </w:p>
    <w:p>
      <w:pPr>
        <w:pStyle w:val="Heading2"/>
      </w:pPr>
      <w:r>
        <w:rPr>
          <w:rFonts w:ascii="Times New Roman" w:hAnsi="Times New Roman"/>
        </w:rPr>
        <w:t>Verdeckte Schwächen</w:t>
      </w:r>
    </w:p>
    <w:p>
      <w:pPr>
        <w:pStyle w:val="ListBullet"/>
      </w:pPr>
      <w:r>
        <w:t>Gute Minderjährigenprüfung, aber Vertragspartner und Vertretungsfrage werden nicht sauber auseinandergehalten.</w:t>
      </w:r>
    </w:p>
    <w:p>
      <w:pPr>
        <w:pStyle w:val="ListBullet"/>
      </w:pPr>
      <w:r>
        <w:t>Online-Auktion wird zu schematisch behandelt; die konkrete Plattformkommunikation fehlt.</w:t>
      </w:r>
    </w:p>
    <w:p>
      <w:pPr>
        <w:pStyle w:val="ListBullet"/>
      </w:pPr>
      <w:r>
        <w:t>Die Vollmachtsurkunde und der Missbrauch der Vertretungsmacht bleiben fast ungenutzt.</w:t>
      </w:r>
    </w:p>
    <w:p>
      <w:pPr>
        <w:pStyle w:val="ListBullet"/>
      </w:pPr>
      <w:r>
        <w:t>Die Kandidatin prüft Anfechtung, ohne vorher durch Auslegung zu fragen, was überhaupt erklärt wurde.</w:t>
      </w:r>
    </w:p>
    <w:p>
      <w:pPr>
        <w:pStyle w:val="ListBullet"/>
      </w:pPr>
      <w:r>
        <w:t>Die Form-/beA-/qES-Fragen werden als Prozessrecht abgetan, obwohl sie in der Akte als Zugang/Formbeweis relevant sind.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