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Kandidatenlösung Walram Zedlitz</w:t>
      </w:r>
    </w:p>
    <w:p>
      <w:pPr>
        <w:pStyle w:val="Heading2"/>
      </w:pPr>
      <w:r>
        <w:rPr>
          <w:rFonts w:ascii="Times New Roman" w:hAnsi="Times New Roman"/>
        </w:rPr>
        <w:t>Prüfungsansatz</w:t>
      </w:r>
    </w:p>
    <w:p>
      <w:pPr>
        <w:jc w:val="left"/>
      </w:pPr>
      <w:r>
        <w:t>Walram kommt dem richtigen Ergebnis nahe, aber seine Schwerpunktsetzung ist unruhig. Er schreibt viel zur Stellvertretung und zu wenig zur Beweisbarkeit des Zugangs und zur Anfechtungsfrist.</w:t>
      </w:r>
    </w:p>
    <w:p>
      <w:pPr>
        <w:pStyle w:val="Heading2"/>
      </w:pPr>
      <w:r>
        <w:rPr>
          <w:rFonts w:ascii="Times New Roman" w:hAnsi="Times New Roman"/>
        </w:rPr>
        <w:t>Lösungsauszug</w:t>
      </w:r>
    </w:p>
    <w:p>
      <w:pPr>
        <w:jc w:val="left"/>
      </w:pPr>
      <w:r>
        <w:t>Ein Anspruch aus § 433 Abs. 2 BGB setzt einen wirksamen Kaufvertrag voraus. Die Erklärungen sind zunächst auszulegen. Der Plattformtext spricht eher für ein verbindliches Angebot unter den Bedingungen der Auktionsplattform; die Bestätigungs-E-Mail ist für Zugang und Nachweis wichtig, aber nicht allein konstitutiv.</w:t>
      </w:r>
    </w:p>
    <w:p>
      <w:pPr>
        <w:jc w:val="left"/>
      </w:pPr>
      <w:r>
        <w:t>Bei Giselher scheitert die Wirksamkeit ohne Zustimmung, weil eine Zahlungspflicht entsteht. § 110 BGB ist nur einschlägig, wenn die Leistung vollständig bewirkt wurde. Bei Raten, Kredit oder bloßer Anzahlung bleibt das Geschäft schwebend unwirksam. Die Elternmail ist daher auf Genehmigung oder Verweigerung zu untersuchen.</w:t>
      </w:r>
    </w:p>
    <w:p>
      <w:pPr>
        <w:jc w:val="left"/>
      </w:pPr>
      <w:r>
        <w:t>Für Werkstattbedarf kommt Stellvertretung in Betracht. Zu prüfen sind eigene Willenserklärung, Offenkundigkeit und Vertretungsmacht. Eine bloße Funktion als Werkstattmeister ersetzt keine Vollmacht. Rechtsschein verlangt einen zurechenbaren Vertrauenstatbestand.</w:t>
      </w:r>
    </w:p>
    <w:p>
      <w:pPr>
        <w:pStyle w:val="Heading2"/>
      </w:pPr>
      <w:r>
        <w:rPr>
          <w:rFonts w:ascii="Times New Roman" w:hAnsi="Times New Roman"/>
        </w:rPr>
        <w:t>Was noch fehlt</w:t>
      </w:r>
    </w:p>
    <w:p>
      <w:pPr>
        <w:pStyle w:val="ListBullet"/>
      </w:pPr>
      <w:r>
        <w:t>Besser wäre eine tabellarische Erklärungskette mit Datum, Kanal, Zugang und Inhalt.</w:t>
      </w:r>
    </w:p>
    <w:p>
      <w:pPr>
        <w:pStyle w:val="ListBullet"/>
      </w:pPr>
      <w:r>
        <w:t>Die Anfechtung müsste nach Auslegung, Grund, Erklärung, Gegner, Frist und Rechtsfolge getrennt werden.</w:t>
      </w:r>
    </w:p>
    <w:p>
      <w:pPr>
        <w:pStyle w:val="ListBullet"/>
      </w:pPr>
      <w:r>
        <w:t>Die Kandidatenlösung vermeidet die Frage, ob § 122 BGB und Rückabwicklung praktisch wichtiger sind als das abstrakte Nichtigkeitsurteil.</w:t>
      </w:r>
    </w:p>
    <w:p>
      <w:pPr>
        <w:pStyle w:val="ListBullet"/>
      </w:pPr>
      <w:r>
        <w:t>Die prozessuale Formfiktion wird nicht als Beweis- und Zugangsthema in die BGB-AT-Prüfung eingebaut.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