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Korrekturmatrix: typische Fehlleistungen in der BGB-AT-Akte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Fehlerbild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Balduin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Kunigunde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Hildegund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Walram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Korrekturfrage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Angebot/Annahme vorschnell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Welche konkrete Erklärung ist Angebot, welche Annahme, und wann geht sie zu?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Wirtschaftlich vorteilhaft statt rechtlich vorteilhaft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Entsteht irgendeine rechtliche Pflicht, Belastung oder Haftung?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110 BGB zu pauschal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Wurde die Leistung vollständig mit überlassenen Mitteln bewirkt?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Rechtsscheinvollmacht behauptet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Gibt es wiederholtes zurechenbares Auftreten und schutzwürdiges Vertrauen?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Anfechtung ohne Auslegung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Was wurde objektiv erklärt, bevor man den Irrtum einordnet?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Frist ohne Tatsachenprüfung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Wann wurde der Irrtum entdeckt, wer durfte intern prüfen, wann ging die Erklärung zu?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beA/qES/Formfiktion übersehen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Geht es um materielle Form, prozessuale Einreichung oder Beweis des Inhalts?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 xml:space="preserve">Einsatz mit </w:t>
      </w:r>
      <w:r>
        <w:rPr>
          <w:rFonts w:ascii="Times New Roman" w:hAnsi="Times New Roman"/>
        </w:rPr>
        <w:t>subsumtions-pruefer</w:t>
      </w:r>
    </w:p>
    <w:p>
      <w:pPr>
        <w:pStyle w:val="ListNumber"/>
      </w:pPr>
      <w:r>
        <w:t>Jede Kandidatenlösung als eigenes Dokument laden.</w:t>
      </w:r>
    </w:p>
    <w:p>
      <w:pPr>
        <w:pStyle w:val="ListNumber"/>
      </w:pPr>
      <w:r>
        <w:t>Pro Absatz das behauptete Tatbestandsmerkmal markieren.</w:t>
      </w:r>
    </w:p>
    <w:p>
      <w:pPr>
        <w:pStyle w:val="ListNumber"/>
      </w:pPr>
      <w:r>
        <w:t>Definition und Tatsachenbeleg verlangen.</w:t>
      </w:r>
    </w:p>
    <w:p>
      <w:pPr>
        <w:pStyle w:val="ListNumber"/>
      </w:pPr>
      <w:r>
        <w:t>Ergebnis nur akzeptieren, wenn Definition, Untersatz und Beleg deckungsgleich sind.</w:t>
      </w:r>
    </w:p>
    <w:p>
      <w:pPr>
        <w:pStyle w:val="ListNumber"/>
      </w:pPr>
      <w:r>
        <w:t>Fehler nicht nur benennen, sondern in eine bessere Subsumtion umschreiben.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