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Rückgabevermerk an die Probanden</w:t>
      </w:r>
    </w:p>
    <w:p>
      <w:pPr>
        <w:pStyle w:val="Heading2"/>
      </w:pPr>
      <w:r>
        <w:rPr>
          <w:rFonts w:ascii="Times New Roman" w:hAnsi="Times New Roman"/>
        </w:rPr>
        <w:t>Gemeinsamer Befund</w:t>
      </w:r>
    </w:p>
    <w:p>
      <w:pPr>
        <w:jc w:val="left"/>
      </w:pPr>
      <w:r>
        <w:t>Alle vier Bearbeitungen zeigen, dass BGB AT nicht an der Menge der Überschriften scheitert, sondern an der Reihenfolge. Wer Angebot, Zugang, Minderjährigenrecht, Stellvertretung und Anfechtung ineinander schiebt, bekommt scheinbar schnelle Ergebnisse, aber keine belastbare Lösung.</w:t>
      </w:r>
    </w:p>
    <w:p>
      <w:pPr>
        <w:pStyle w:val="Heading2"/>
      </w:pPr>
      <w:r>
        <w:rPr>
          <w:rFonts w:ascii="Times New Roman" w:hAnsi="Times New Roman"/>
        </w:rPr>
        <w:t>Verbesserungsauftrag</w:t>
      </w:r>
    </w:p>
    <w:p>
      <w:pPr>
        <w:pStyle w:val="ListBullet"/>
      </w:pPr>
      <w:r>
        <w:t>Erst Erklärungskette bauen, dann Anspruch prüfen.</w:t>
      </w:r>
    </w:p>
    <w:p>
      <w:pPr>
        <w:pStyle w:val="ListBullet"/>
      </w:pPr>
      <w:r>
        <w:t>Jede Norm mit Tatbestandsmerkmalen zerlegen.</w:t>
      </w:r>
    </w:p>
    <w:p>
      <w:pPr>
        <w:pStyle w:val="ListBullet"/>
      </w:pPr>
      <w:r>
        <w:t>Kein Ergebnis ohne konkrete Tatsache aus der Akte.</w:t>
      </w:r>
    </w:p>
    <w:p>
      <w:pPr>
        <w:pStyle w:val="ListBullet"/>
      </w:pPr>
      <w:r>
        <w:t>Minderjährigenrecht nicht moralisch oder wirtschaftlich lösen.</w:t>
      </w:r>
    </w:p>
    <w:p>
      <w:pPr>
        <w:pStyle w:val="ListBullet"/>
      </w:pPr>
      <w:r>
        <w:t>Rechtsschein nicht behaupten, sondern zurechnen.</w:t>
      </w:r>
    </w:p>
    <w:p>
      <w:pPr>
        <w:pStyle w:val="ListBullet"/>
      </w:pPr>
      <w:r>
        <w:t>Anfechtung immer nach Auslegung prüfen.</w:t>
      </w:r>
    </w:p>
    <w:p>
      <w:pPr>
        <w:pStyle w:val="ListBullet"/>
      </w:pPr>
      <w:r>
        <w:t>Fristen nicht schätzen, sondern aus der Akte herleiten.</w:t>
      </w:r>
    </w:p>
    <w:p>
      <w:pPr>
        <w:pStyle w:val="Heading2"/>
      </w:pPr>
      <w:r>
        <w:rPr>
          <w:rFonts w:ascii="Times New Roman" w:hAnsi="Times New Roman"/>
        </w:rPr>
        <w:t>Zweitbearbeitung</w:t>
      </w:r>
    </w:p>
    <w:p>
      <w:pPr>
        <w:jc w:val="left"/>
      </w:pPr>
      <w:r>
        <w:t xml:space="preserve">Die Probanden sollen denselben Fall noch einmal lösen, diesmal mit einer Tabelle: </w:t>
      </w:r>
      <w:r>
        <w:t>Erklärung</w:t>
      </w:r>
      <w:r>
        <w:t xml:space="preserve">, </w:t>
      </w:r>
      <w:r>
        <w:t>Person</w:t>
      </w:r>
      <w:r>
        <w:t xml:space="preserve">, </w:t>
      </w:r>
      <w:r>
        <w:t>Rolle</w:t>
      </w:r>
      <w:r>
        <w:t xml:space="preserve">, </w:t>
      </w:r>
      <w:r>
        <w:t>Kanal</w:t>
      </w:r>
      <w:r>
        <w:t xml:space="preserve">, </w:t>
      </w:r>
      <w:r>
        <w:t>Zugang</w:t>
      </w:r>
      <w:r>
        <w:t xml:space="preserve">, </w:t>
      </w:r>
      <w:r>
        <w:t>Rechtsfolge</w:t>
      </w:r>
      <w:r>
        <w:t xml:space="preserve">, </w:t>
      </w:r>
      <w:r>
        <w:t>Problem</w:t>
      </w:r>
      <w:r>
        <w:t xml:space="preserve">, </w:t>
      </w:r>
      <w:r>
        <w:t>Belegstelle</w:t>
      </w:r>
      <w:r>
        <w:t>. Danach wird die Lösung mit der Korrekturmatrix abgeglichen.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