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Bäckerei Falkenried, Ofenbauer Gluthammer, Bürgin Frieda Kort, Spediteur Eilfracht und Versicherer Brandtal.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Spezialofen kommt verspätet, mangelhaft und brandgefährlich an; parallel greifen Bürgschaft, Ersatzvornahme, Notgeschäftsführung und deliktische Schäden.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BGB Kauf-/Werkvertragsrecht, §§ 631 ff., 433 ff., 765 ff., 677 ff., 823 ff., 280 ff.; HGB-Transportbezüge.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