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Holzofen Falkenried: Kauf, Werk, Bürgschaft, GoA und Delikt“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Spezialofen kommt verspätet, mangelhaft und brandgefährlich an; parallel greifen Bürgschaft, Ersatzvornahme, Notgeschäftsführung und deliktische Schäden.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BGB Kauf-/Werkvertragsrecht, §§ 631 ff., 433 ff., 765 ff., 677 ff., 823 ff., 280 ff.; HGB-Transportbezüge.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