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Gebäudeversicherer — Regressvorbehalt</w:t>
      </w:r>
    </w:p>
    <w:p>
      <w:pPr>
        <w:jc w:val="left"/>
      </w:pPr>
      <w:r>
        <w:t>Die Provinzial Nord reguliert vorläufig 18.600 EUR Brandschaden und kündigt Regressprüfung gegen Ofenhaus Backstein GmbH, Hinnerk Brandt und gegebenenfalls Klara Windmöller an. Offene Punkte:</w:t>
      </w:r>
    </w:p>
    <w:p>
      <w:pPr>
        <w:pStyle w:val="ListBullet"/>
      </w:pPr>
      <w:r>
        <w:t>Brandschutzmanschette laut Foto möglicherweise falsch montiert.</w:t>
      </w:r>
    </w:p>
    <w:p>
      <w:pPr>
        <w:pStyle w:val="ListBullet"/>
      </w:pPr>
      <w:r>
        <w:t>Bezirksschornsteinfeger war erst nachträglich informiert.</w:t>
      </w:r>
    </w:p>
    <w:p>
      <w:pPr>
        <w:pStyle w:val="ListBullet"/>
      </w:pPr>
      <w:r>
        <w:t>Herstelleranleitung verlangt Mindestabstand, der im Altbau nur knapp eingehalten wurde.</w:t>
      </w:r>
    </w:p>
    <w:p>
      <w:pPr>
        <w:pStyle w:val="ListBullet"/>
      </w:pPr>
      <w:r>
        <w:t>Ofenhaus bestreitet Kausalität und verweist auf altes Schornsteinmauerwerk.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