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Frühe Bewertung und Vergleichsidee</w:t>
      </w:r>
    </w:p>
    <w:p>
      <w:pPr>
        <w:pStyle w:val="Heading2"/>
      </w:pPr>
      <w:r>
        <w:rPr>
          <w:rFonts w:ascii="Times New Roman" w:hAnsi="Times New Roman"/>
        </w:rPr>
        <w:t>Stärken Mandantin</w:t>
      </w:r>
    </w:p>
    <w:p>
      <w:pPr>
        <w:pStyle w:val="ListBullet"/>
      </w:pPr>
      <w:r>
        <w:t>Mehrere Mängelanzeichen vor Schlussrate.</w:t>
      </w:r>
    </w:p>
    <w:p>
      <w:pPr>
        <w:pStyle w:val="ListBullet"/>
      </w:pPr>
      <w:r>
        <w:t>AGB-Haftungsausschlüsse wirken sehr breit.</w:t>
      </w:r>
    </w:p>
    <w:p>
      <w:pPr>
        <w:pStyle w:val="ListBullet"/>
      </w:pPr>
      <w:r>
        <w:t>Abnahmeprotokoll ist schwach dokumentiert.</w:t>
      </w:r>
    </w:p>
    <w:p>
      <w:pPr>
        <w:pStyle w:val="ListBullet"/>
      </w:pPr>
      <w:r>
        <w:t>Versicherer sieht technische Pflichtverletzung als möglich an.</w:t>
      </w:r>
    </w:p>
    <w:p>
      <w:pPr>
        <w:pStyle w:val="Heading2"/>
      </w:pPr>
      <w:r>
        <w:rPr>
          <w:rFonts w:ascii="Times New Roman" w:hAnsi="Times New Roman"/>
        </w:rPr>
        <w:t>Schwächen Mandantin</w:t>
      </w:r>
    </w:p>
    <w:p>
      <w:pPr>
        <w:pStyle w:val="ListBullet"/>
      </w:pPr>
      <w:r>
        <w:t>Erstbetrieb erfolgte ohne sofortige formale Rüge.</w:t>
      </w:r>
    </w:p>
    <w:p>
      <w:pPr>
        <w:pStyle w:val="ListBullet"/>
      </w:pPr>
      <w:r>
        <w:t>Beweis zur Brandursache noch offen.</w:t>
      </w:r>
    </w:p>
    <w:p>
      <w:pPr>
        <w:pStyle w:val="ListBullet"/>
      </w:pPr>
      <w:r>
        <w:t>Bürgschaft kann Druck erzeugen.</w:t>
      </w:r>
    </w:p>
    <w:p>
      <w:pPr>
        <w:pStyle w:val="ListBullet"/>
      </w:pPr>
      <w:r>
        <w:t>Notmaßnahme der Nachbarin war teuer, aber wohl nicht völlig fernliegend.</w:t>
      </w:r>
    </w:p>
    <w:p>
      <w:pPr>
        <w:pStyle w:val="Heading2"/>
      </w:pPr>
      <w:r>
        <w:rPr>
          <w:rFonts w:ascii="Times New Roman" w:hAnsi="Times New Roman"/>
        </w:rPr>
        <w:t>Vergleichskorridor</w:t>
      </w:r>
    </w:p>
    <w:p>
      <w:pPr>
        <w:jc w:val="left"/>
      </w:pPr>
      <w:r>
        <w:t>Ofenhaus behebt Hydraulik und Wanddurchbruch, verzichtet auf 1.700 EUR Schlussrate, Bankbürgschaft wird zurückgegeben, Versichererregress bleibt ausgeklammert bis Gutachten.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