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Holzofen Falkenried: Kauf, Werk, Bürgschaft, GoA und Delikt</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Spezialofen kommt verspätet, mangelhaft und brandgefährlich an; parallel greifen Bürgschaft, Ersatzvornahme, Notgeschäftsführung und deliktische Schäden.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BGB Kauf-/Werkvertragsrecht, §§ 631 ff., 433 ff., 765 ff., 677 ff., 823 ff., 280 ff.; HGB-Transportbezüge.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