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Gutachtenstruktur BGB BT</w:t>
      </w:r>
    </w:p>
    <w:p>
      <w:pPr>
        <w:pStyle w:val="Heading2"/>
      </w:pPr>
      <w:r>
        <w:rPr>
          <w:rFonts w:ascii="Times New Roman" w:hAnsi="Times New Roman"/>
        </w:rPr>
        <w:t>A. Ansprüche Ofenhaus gegen Windmöller</w:t>
      </w:r>
    </w:p>
    <w:p>
      <w:pPr>
        <w:pStyle w:val="ListNumber"/>
      </w:pPr>
      <w:r>
        <w:t>Schlussrate aus Kauf-/Werkvertrag.</w:t>
      </w:r>
    </w:p>
    <w:p>
      <w:pPr>
        <w:pStyle w:val="ListNumber"/>
      </w:pPr>
      <w:r>
        <w:t>Fälligkeit nach Abnahme oder abnahmeersetzender Fiktion.</w:t>
      </w:r>
    </w:p>
    <w:p>
      <w:pPr>
        <w:pStyle w:val="ListNumber"/>
      </w:pPr>
      <w:r>
        <w:t>Einwendungen wegen Mängeln, Zurückbehaltungsrecht, Minderung, Rücktritt.</w:t>
      </w:r>
    </w:p>
    <w:p>
      <w:pPr>
        <w:pStyle w:val="ListNumber"/>
      </w:pPr>
      <w:r>
        <w:t>Anspruch gegen Bank aus Bürgschaft.</w:t>
      </w:r>
    </w:p>
    <w:p>
      <w:pPr>
        <w:pStyle w:val="Heading2"/>
      </w:pPr>
      <w:r>
        <w:rPr>
          <w:rFonts w:ascii="Times New Roman" w:hAnsi="Times New Roman"/>
        </w:rPr>
        <w:t>B. Ansprüche Windmöller gegen Ofenhaus</w:t>
      </w:r>
    </w:p>
    <w:p>
      <w:pPr>
        <w:pStyle w:val="ListNumber"/>
      </w:pPr>
      <w:r>
        <w:t>Nacherfüllung wegen Mängeln.</w:t>
      </w:r>
    </w:p>
    <w:p>
      <w:pPr>
        <w:pStyle w:val="ListNumber"/>
      </w:pPr>
      <w:r>
        <w:t>Schadensersatz wegen Brand und Wasserschaden.</w:t>
      </w:r>
    </w:p>
    <w:p>
      <w:pPr>
        <w:pStyle w:val="ListNumber"/>
      </w:pPr>
      <w:r>
        <w:t>Rückzahlung überzahlter Beträge bei Rücktritt/Minderung.</w:t>
      </w:r>
    </w:p>
    <w:p>
      <w:pPr>
        <w:pStyle w:val="ListNumber"/>
      </w:pPr>
      <w:r>
        <w:t>Auskunft/Unterlagen: Montageanleitung, Subunternehmervertrag, Brandschutzdetails.</w:t>
      </w:r>
    </w:p>
    <w:p>
      <w:pPr>
        <w:pStyle w:val="Heading2"/>
      </w:pPr>
      <w:r>
        <w:rPr>
          <w:rFonts w:ascii="Times New Roman" w:hAnsi="Times New Roman"/>
        </w:rPr>
        <w:t>C. Ansprüche gegen Monteur Brandt</w:t>
      </w:r>
    </w:p>
    <w:p>
      <w:pPr>
        <w:jc w:val="left"/>
      </w:pPr>
      <w:r>
        <w:t>Vertragliche Ansprüche nur bei eigener Vertragsbeziehung. Deliktisch: Eigentumsverletzung, Verkehrssicherungspflicht, Schutzgesetz nur bei konkreter Norm.</w:t>
      </w:r>
    </w:p>
    <w:p>
      <w:pPr>
        <w:pStyle w:val="Heading2"/>
      </w:pPr>
      <w:r>
        <w:rPr>
          <w:rFonts w:ascii="Times New Roman" w:hAnsi="Times New Roman"/>
        </w:rPr>
        <w:t>D. Ansprüche Krumm</w:t>
      </w:r>
    </w:p>
    <w:p>
      <w:pPr>
        <w:jc w:val="left"/>
      </w:pPr>
      <w:r>
        <w:t>GoA-Aufwendungsersatz gegen Windmöller; mögliche Einwendung überhöhter Schlüsseldienstkosten.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