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Entwurf Antwort an Ofenhaus</w:t>
      </w:r>
    </w:p>
    <w:p>
      <w:pPr>
        <w:jc w:val="left"/>
      </w:pPr>
      <w:r>
        <w:t>Sehr geehrte Damen und Herren,</w:t>
      </w:r>
    </w:p>
    <w:p>
      <w:pPr>
        <w:jc w:val="left"/>
      </w:pPr>
      <w:r>
        <w:t>unsere Mandantin weist die Forderung zurück. Eine abnahmefähige Leistung lag nicht vor. Bereits kurz nach der Montage traten Rauchentwicklung, Undichtigkeiten und Leistungsabweichungen auf. Eine rechtliche Abnahme wurde nicht erklärt; das Montageformular dokumentiert allenfalls die Übergabe der Bedienungsanleitung.</w:t>
      </w:r>
    </w:p>
    <w:p>
      <w:pPr>
        <w:jc w:val="left"/>
      </w:pPr>
      <w:r>
        <w:t>Bitte bestätigen Sie bis zum 26.05.2026, dass Sie die Schlussrate bis zur technischen Klärung nicht weiter geltend machen und die Bankbürgschaft nicht ziehen. Andernfalls werden wir negative Feststellungsklage und einstweiligen Rechtsschutz gegen die Bürgschaftsinanspruchnahme prüfen.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