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Holzofen, Lieferkette, Bürgschaft und GoA</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Mischvertrag, Lieferkette, Handwerkerfehler, Bürgschaft, Selbstvornahme, Brandschaden und Regress. Einschlägige Normräume sind BGB Kaufrecht, Werkvertragsrecht, §§ 765 ff., GoA §§ 677 ff., Deliktsrecht §§ 823 ff., Produkthaftung und Verjährung.</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Holzofen, Lieferkette, Bürgschaft und GoA genügt es nicht, eine einzelne Norm zu nennen. Die Akte verlangt eine Matrix aus BGB Kaufrecht, Werkvertragsrecht, §§ 765 ff., GoA §§ 677 ff., Deliktsrecht §§ 823 ff., Produkthaftung und Verjährung.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