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Nachtrag Servicepauschale — Wirksamkeitsproblem</w:t>
      </w:r>
    </w:p>
    <w:p>
      <w:pPr>
        <w:jc w:val="left"/>
      </w:pPr>
      <w:r>
        <w:t>Am 30.11.2025 übersandte Ofenhaus einen Nachtrag: „Sofort-Servicepauschale 890 EUR; Gewährleistung nur bei Abschluss.“ Klara Windmöller unterschrieb nicht, zahlte aber 300 EUR an. Unklar ist, ob damit ein eigener Vertrag zustande kam.</w:t>
      </w:r>
    </w:p>
    <w:p>
      <w:pPr>
        <w:jc w:val="left"/>
      </w:pPr>
      <w:r>
        <w:t>Prüffragen:</w:t>
      </w:r>
    </w:p>
    <w:p>
      <w:pPr>
        <w:pStyle w:val="ListNumber"/>
      </w:pPr>
      <w:r>
        <w:t>Angebot und Annahme?</w:t>
      </w:r>
    </w:p>
    <w:p>
      <w:pPr>
        <w:pStyle w:val="ListNumber"/>
      </w:pPr>
      <w:r>
        <w:t>Überraschende oder unangemessene Kopplung an Gewährleistungsrechte?</w:t>
      </w:r>
    </w:p>
    <w:p>
      <w:pPr>
        <w:pStyle w:val="ListNumber"/>
      </w:pPr>
      <w:r>
        <w:t>Rückforderung der 300 EUR über § 812 BGB?</w:t>
      </w:r>
    </w:p>
    <w:p>
      <w:pPr>
        <w:pStyle w:val="ListNumber"/>
      </w:pPr>
      <w:r>
        <w:t>Anrechnung auf sonstige Vergütung?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