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Zahlungsplan und Aufrechnung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Forderung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Seite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Schlussrate Ofenhaus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3.400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Ofenhaus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bestritten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Minderungsbetrag geschätzt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2.100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Windmöller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Brandschaden Selbstbehalt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Windmöller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möglich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Schlüsseldienst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286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Krumm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wahrscheinlich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Rückzahlung Servicepauschale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Windmöller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möglich</w:t>
            </w:r>
          </w:p>
        </w:tc>
      </w:tr>
    </w:tbl>
    <w:p>
      <w:pPr>
        <w:jc w:val="left"/>
      </w:pPr>
      <w:r>
        <w:t>Aufrechnungslage ist unsicher, weil Minderung, Schadensersatz und Rückforderung erst sauber beziffert werden müssen.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