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Bürgschaftseinreden Bankhaus Nordtor</w:t>
      </w:r>
    </w:p>
    <w:p>
      <w:pPr>
        <w:jc w:val="left"/>
      </w:pPr>
      <w:r>
        <w:t>Die Bank kann der Inanspruchnahme Einreden aus der Hauptschuld entgegenhalten. Zu prüfen:</w:t>
      </w:r>
    </w:p>
    <w:p>
      <w:pPr>
        <w:pStyle w:val="ListBullet"/>
      </w:pPr>
      <w:r>
        <w:t>Besteht die Schlussrate überhaupt?</w:t>
      </w:r>
    </w:p>
    <w:p>
      <w:pPr>
        <w:pStyle w:val="ListBullet"/>
      </w:pPr>
      <w:r>
        <w:t>Ist sie fällig?</w:t>
      </w:r>
    </w:p>
    <w:p>
      <w:pPr>
        <w:pStyle w:val="ListBullet"/>
      </w:pPr>
      <w:r>
        <w:t>Greift Zurückbehaltungsrecht wegen Mängeln?</w:t>
      </w:r>
    </w:p>
    <w:p>
      <w:pPr>
        <w:pStyle w:val="ListBullet"/>
      </w:pPr>
      <w:r>
        <w:t>Ist der Sicherungszweck auf den ursprünglichen Vertrag beschränkt?</w:t>
      </w:r>
    </w:p>
    <w:p>
      <w:pPr>
        <w:pStyle w:val="ListBullet"/>
      </w:pPr>
      <w:r>
        <w:t>Hat Ofenhaus durch Nachträge oder Pflichtverletzungen Sicherungsrisiken verändert?</w:t>
      </w:r>
    </w:p>
    <w:p>
      <w:pPr>
        <w:pStyle w:val="ListBullet"/>
      </w:pPr>
      <w:r>
        <w:t>Liegt eine rechtsmissbräuchliche Inanspruchnahme vor, wenn die Mängel erheblich sind?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