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Times New Roman" w:hAnsi="Times New Roman"/>
        </w:rPr>
        <w:t>Anspruch Krumm aus Geschäftsführung ohne Auftrag</w:t>
      </w:r>
    </w:p>
    <w:p>
      <w:pPr>
        <w:jc w:val="left"/>
      </w:pPr>
      <w:r>
        <w:t>Adelheid Krumm handelte ohne Auftrag, aber objektiv für Klara Windmöller: Wasser im Hausflur, Abwesenheit der Eigentümerin, Gefahr weiterer Schäden. Das Öffnen der Kellertür und Abschalten der Pumpe kann im mutmaßlichen Willen gelegen haben.</w:t>
      </w:r>
    </w:p>
    <w:p>
      <w:pPr>
        <w:jc w:val="left"/>
      </w:pPr>
      <w:r>
        <w:t>Streitpunkte:</w:t>
      </w:r>
    </w:p>
    <w:p>
      <w:pPr>
        <w:pStyle w:val="ListBullet"/>
      </w:pPr>
      <w:r>
        <w:t>War der Schlüsseldienst erforderlich?</w:t>
      </w:r>
    </w:p>
    <w:p>
      <w:pPr>
        <w:pStyle w:val="ListBullet"/>
      </w:pPr>
      <w:r>
        <w:t>Musste Krumm vorher versuchen, Windmöller länger zu erreichen?</w:t>
      </w:r>
    </w:p>
    <w:p>
      <w:pPr>
        <w:pStyle w:val="ListBullet"/>
      </w:pPr>
      <w:r>
        <w:t>Sind 286 EUR ortsüblich oder überhöht?</w:t>
      </w:r>
    </w:p>
    <w:p>
      <w:pPr>
        <w:pStyle w:val="ListBullet"/>
      </w:pPr>
      <w:r>
        <w:t>Kann Windmöller beim Ofenhaus Regress nehmen, wenn der Wasseraustritt mangelbedingt war?</w:t>
      </w:r>
    </w:p>
    <w:sectPr w:rsidR="00FC693F" w:rsidRPr="0006063C" w:rsidSect="00034616"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/>
      <w:b/>
      <w:bCs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