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Delikt und Regress des Versicherers</w:t>
      </w:r>
    </w:p>
    <w:p>
      <w:pPr>
        <w:jc w:val="left"/>
      </w:pPr>
      <w:r>
        <w:t>Der Versicherer prüft übergegangene Ansprüche wegen Eigentumsverletzung am Gebäude. Vertragliche Ansprüche der Mandantin gegen Ofenhaus stehen daneben. Gegen Monteur Brandt kommt deliktische Haftung in Betracht, wenn eine eigene Verkehrssicherungspflicht verletzt wurde.</w:t>
      </w:r>
    </w:p>
    <w:p>
      <w:pPr>
        <w:jc w:val="left"/>
      </w:pPr>
      <w:r>
        <w:t>Offen:</w:t>
      </w:r>
    </w:p>
    <w:p>
      <w:pPr>
        <w:pStyle w:val="ListNumber"/>
      </w:pPr>
      <w:r>
        <w:t>Produktfehler oder Montagefehler?</w:t>
      </w:r>
    </w:p>
    <w:p>
      <w:pPr>
        <w:pStyle w:val="ListNumber"/>
      </w:pPr>
      <w:r>
        <w:t>Zurechnung Subunternehmer zu Ofenhaus vertraglich?</w:t>
      </w:r>
    </w:p>
    <w:p>
      <w:pPr>
        <w:pStyle w:val="ListNumber"/>
      </w:pPr>
      <w:r>
        <w:t>Verrichtungsgehilfe oder selbstständiger Unternehmer?</w:t>
      </w:r>
    </w:p>
    <w:p>
      <w:pPr>
        <w:pStyle w:val="ListNumber"/>
      </w:pPr>
      <w:r>
        <w:t>Mitverschulden durch Betrieb trotz Rauchentwicklung?</w:t>
      </w:r>
    </w:p>
    <w:p>
      <w:pPr>
        <w:pStyle w:val="ListNumber"/>
      </w:pPr>
      <w:r>
        <w:t>Regresshöhe nach Regulierung und Selbstbehalt.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