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Verjährung und Beweissicherung</w:t>
      </w:r>
    </w:p>
    <w:p>
      <w:pPr>
        <w:pStyle w:val="Heading2"/>
      </w:pPr>
      <w:r>
        <w:rPr>
          <w:rFonts w:ascii="Times New Roman" w:hAnsi="Times New Roman"/>
        </w:rPr>
        <w:t>Sofortmaßnahmen</w:t>
      </w:r>
    </w:p>
    <w:p>
      <w:pPr>
        <w:pStyle w:val="ListBullet"/>
      </w:pPr>
      <w:r>
        <w:t>Ofen, Leitung und Wanddurchbruch nicht verändern lassen.</w:t>
      </w:r>
    </w:p>
    <w:p>
      <w:pPr>
        <w:pStyle w:val="ListBullet"/>
      </w:pPr>
      <w:r>
        <w:t>Fotos mit Datum sichern.</w:t>
      </w:r>
    </w:p>
    <w:p>
      <w:pPr>
        <w:pStyle w:val="ListBullet"/>
      </w:pPr>
      <w:r>
        <w:t>Herstelleranleitung vollständig anfordern.</w:t>
      </w:r>
    </w:p>
    <w:p>
      <w:pPr>
        <w:pStyle w:val="ListBullet"/>
      </w:pPr>
      <w:r>
        <w:t>Schornsteinfeger und Installateur als Zeugen notieren.</w:t>
      </w:r>
    </w:p>
    <w:p>
      <w:pPr>
        <w:pStyle w:val="ListBullet"/>
      </w:pPr>
      <w:r>
        <w:t>Beweisverfahren prüfen, wenn Reparatur dringend nötig wird.</w:t>
      </w:r>
    </w:p>
    <w:p>
      <w:pPr>
        <w:pStyle w:val="Heading2"/>
      </w:pPr>
      <w:r>
        <w:rPr>
          <w:rFonts w:ascii="Times New Roman" w:hAnsi="Times New Roman"/>
        </w:rPr>
        <w:t>Verjährungsfragen</w:t>
      </w:r>
    </w:p>
    <w:p>
      <w:pPr>
        <w:jc w:val="left"/>
      </w:pPr>
      <w:r>
        <w:t>Kauf- und werkvertragliche Mängelrechte können unterschiedliche Fristen haben. Bei Bauwerksbezug oder Einbau in ein Gebäude ist die Einordnung besonders wichtig. Deliktische Ansprüche laufen gesondert.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