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Vergleichsentwurf — ohne Anerkennung einer Rechtspflicht</w:t>
      </w:r>
    </w:p>
    <w:p>
      <w:pPr>
        <w:pStyle w:val="ListNumber"/>
      </w:pPr>
      <w:r>
        <w:t>Ofenhaus führt bis 30.06.2026 eine vollständige technische Nachbesserung durch.</w:t>
      </w:r>
    </w:p>
    <w:p>
      <w:pPr>
        <w:pStyle w:val="ListNumber"/>
      </w:pPr>
      <w:r>
        <w:t>Die Schlussrate wird von 3.400 EUR auf 1.450 EUR reduziert und erst nach mangelfreier Funktionsprüfung fällig.</w:t>
      </w:r>
    </w:p>
    <w:p>
      <w:pPr>
        <w:pStyle w:val="ListNumber"/>
      </w:pPr>
      <w:r>
        <w:t>Ofenhaus nimmt die Bürgschaft nicht in Anspruch und gibt die Urkunde nach Zahlung zurück.</w:t>
      </w:r>
    </w:p>
    <w:p>
      <w:pPr>
        <w:pStyle w:val="ListNumber"/>
      </w:pPr>
      <w:r>
        <w:t>Die Parteien klammern Versichererregress und Brandschaden bis zum Gutachten aus.</w:t>
      </w:r>
    </w:p>
    <w:p>
      <w:pPr>
        <w:pStyle w:val="ListNumber"/>
      </w:pPr>
      <w:r>
        <w:t>Krumm erhält 286 EUR, intern vorbehaltlich Rückgriff.</w:t>
      </w:r>
    </w:p>
    <w:p>
      <w:pPr>
        <w:pStyle w:val="ListNumber"/>
      </w:pPr>
      <w:r>
        <w:t>Keine Präjudizwirkung für Produkthaftung oder deliktische Ansprüche.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