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Händlerantwort zur Nacherfüllung</w:t>
      </w:r>
    </w:p>
    <w:p>
      <w:pPr>
        <w:jc w:val="left"/>
      </w:pPr>
      <w:r>
        <w:t>Elektrohaus Brückner schreibt am 22.04.2026:</w:t>
      </w:r>
    </w:p>
    <w:p>
      <w:pPr>
        <w:pStyle w:val="ListBullet"/>
      </w:pPr>
      <w:r>
        <w:t>Das Gerät sei außerhalb der zweijährigen Herstellergarantie; die gesetzliche Gewährleistung sei "nahezu abgelaufen".</w:t>
      </w:r>
    </w:p>
    <w:p>
      <w:pPr>
        <w:pStyle w:val="ListBullet"/>
      </w:pPr>
      <w:r>
        <w:t>Für digitale Komfortfunktionen sei VestaCool zuständig.</w:t>
      </w:r>
    </w:p>
    <w:p>
      <w:pPr>
        <w:pStyle w:val="ListBullet"/>
      </w:pPr>
      <w:r>
        <w:t>Ein Austausch komme nicht in Betracht, solange kein autorisierter VestaCool-Techniker einen Hardwarefehler bestätigt habe.</w:t>
      </w:r>
    </w:p>
    <w:p>
      <w:pPr>
        <w:pStyle w:val="ListBullet"/>
      </w:pPr>
      <w:r>
        <w:t>Eine Reparatur durch Pütz &amp; Söhne könne die CarePlus-Garantie gefährden.</w:t>
      </w:r>
    </w:p>
    <w:p>
      <w:pPr>
        <w:pStyle w:val="ListBullet"/>
      </w:pPr>
      <w:r>
        <w:t>Wegen vieler Servicefälle sei ein Termin Mitte Juni realistisch.</w:t>
      </w:r>
    </w:p>
    <w:p>
      <w:pPr>
        <w:jc w:val="left"/>
      </w:pPr>
      <w:r>
        <w:t>Auffällig: Die Rechnung enthält CarePlus 36 Monate; die Händlerantwort spricht aber nur von Herstellergarantie. Unklar ist auch, ob Brückner die Ware selbst als Verkäuferin prüft oder alles an VestaCool auslagern will.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