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Sachverhalt und Aktenstand</w:t>
      </w:r>
    </w:p>
    <w:p>
      <w:pPr>
        <w:pStyle w:val="Heading2"/>
      </w:pPr>
      <w:r>
        <w:rPr>
          <w:rFonts w:ascii="Times New Roman" w:hAnsi="Times New Roman"/>
        </w:rPr>
        <w:t>Beteiligte und Ausgangslage</w:t>
      </w:r>
    </w:p>
    <w:p>
      <w:pPr>
        <w:jc w:val="left"/>
      </w:pPr>
      <w:r>
        <w:t>Familie Schwenn, Händler Elektro Kranz, Hersteller PolarByte, Reparaturbetrieb QuickFix und Plattform CloudKitchen. Die Akte beginnt nicht mit einem fertigen Rechtsproblem, sondern mit einem Stapel ungleich sauberer Unterlagen: ein paar Mails, eine Tabelle, ein interner Vermerk, ein Gesprächsprotokoll, teilweise handschriftliche oder fotografierte Notizen und mehrere widersprüchliche Erwartungen der Beteiligten. Gerade deshalb eignet sich der Vorgang gut, um nicht nur abstrakt zu prüfen, sondern die Akte erst einmal in Ordnung zu bringen.</w:t>
      </w:r>
    </w:p>
    <w:p>
      <w:pPr>
        <w:pStyle w:val="Heading2"/>
      </w:pPr>
      <w:r>
        <w:rPr>
          <w:rFonts w:ascii="Times New Roman" w:hAnsi="Times New Roman"/>
        </w:rPr>
        <w:t>Tatsächlicher Verlauf</w:t>
      </w:r>
    </w:p>
    <w:p>
      <w:pPr>
        <w:jc w:val="left"/>
      </w:pPr>
      <w:r>
        <w:t>Am Montagmorgen liegt zunächst nur eine knappe Nachricht mit der Bitte um schnelle Einschätzung vor. Im Laufe des Vormittags stellt sich heraus, dass mehrere Personen jeweils nur einen Ausschnitt kennen. Eine Person spricht von einer bloßen Formalie, eine andere von einem erheblichen Frist- oder Haftungsrisiko. Die Aktenlage ist lückenhaft, aber nicht leer: Es gibt Rechnungsnummern, Entwurfsfassungen, Screenshots, Kalendernotizen und einzelne Aussagen, die sich gegenseitig nicht vollständig decken.</w:t>
      </w:r>
    </w:p>
    <w:p>
      <w:pPr>
        <w:jc w:val="left"/>
      </w:pPr>
      <w:r>
        <w:t>Am Folgetag wird deutlich, dass die Entscheidung nicht isoliert getroffen werden kann. Ein smarter Kühlschrank verliert Updates, sperrt Lebensmittelbestellungen, ein Reparaturversuch beschädigt Sensorik und der Händler verweist auf den Hersteller. Die Mandatsbearbeitung muss deshalb zunächst unterscheiden, was sicher belegt ist, was nur behauptet wird und welche Punkte für die nächste Handlung tatsächlich entscheidend sind.</w:t>
      </w:r>
    </w:p>
    <w:p>
      <w:pPr>
        <w:pStyle w:val="Heading2"/>
      </w:pPr>
      <w:r>
        <w:rPr>
          <w:rFonts w:ascii="Times New Roman" w:hAnsi="Times New Roman"/>
        </w:rPr>
        <w:t>Voll ausgeschriebener Sachverhaltsstand</w:t>
      </w:r>
    </w:p>
    <w:p>
      <w:pPr>
        <w:pStyle w:val="ListNumber"/>
      </w:pPr>
      <w:r>
        <w:t>Die bisher vorhandenen Unterlagen zeigen, dass mindestens zwei Entscheidungsebenen vermischt wurden: operative Zweckmäßigkeit und rechtliche Zulässigkeit. In den Mails wird wiederholt gefragt, ob man „das nicht einfach so machen“ könne. Juristisch reicht diese Formulierung nicht aus, weil sie weder den Verpflichteten noch den Empfänger, noch die Rechtsfolge präzise bezeichnet.</w:t>
      </w:r>
    </w:p>
    <w:p>
      <w:pPr>
        <w:pStyle w:val="ListNumber"/>
      </w:pPr>
      <w:r>
        <w:t>Die Gegenseite beziehungsweise Behörde arbeitet mit einer schärferen Lesart als die Mandantenseite. Sie geht davon aus, dass nicht nur ein einzelner Fehler vorliegt, sondern ein organisatorisches Muster. Das ist für Fristen, Darlegungslast, Verschulden und spätere Vergleichsverhandlungen wichtig.</w:t>
      </w:r>
    </w:p>
    <w:p>
      <w:pPr>
        <w:pStyle w:val="ListNumber"/>
      </w:pPr>
      <w:r>
        <w:t>Die Mandantenseite verfügt zwar über einzelne Entlastungstatsachen, hat diese aber bisher nicht in einer beweistauglichen Reihenfolge zusammengestellt. Besonders problematisch ist, dass mehrere Personen erinnern, aber niemand unmittelbar protokolliert hat, wer wann welche Fassung gesehen, freigegeben oder versandt hat.</w:t>
      </w:r>
    </w:p>
    <w:p>
      <w:pPr>
        <w:pStyle w:val="ListNumber"/>
      </w:pPr>
      <w:r>
        <w:t>Für die nächste Bearbeitung müssen die Unterlagen nicht nur gelesen, sondern in Arbeitsstränge getrennt werden: Dokumentation, Fristen, Rechtsgrundlage, Kommunikation, Risikoentscheidung, Entwurf der nächsten Erklärung.</w:t>
      </w:r>
    </w:p>
    <w:p>
      <w:pPr>
        <w:pStyle w:val="Heading2"/>
      </w:pPr>
      <w:r>
        <w:rPr>
          <w:rFonts w:ascii="Times New Roman" w:hAnsi="Times New Roman"/>
        </w:rPr>
        <w:t>Offene Punkte, die wirklich aufzuklären sind</w:t>
      </w:r>
    </w:p>
    <w:p>
      <w:pPr>
        <w:pStyle w:val="ListBullet"/>
      </w:pPr>
      <w:r>
        <w:t>Welche konkrete Handlung soll rechtlich bewertet werden, und welche davon ist nur Hintergrundrauschen?</w:t>
      </w:r>
    </w:p>
    <w:p>
      <w:pPr>
        <w:pStyle w:val="ListBullet"/>
      </w:pPr>
      <w:r>
        <w:t>Welche Unterlage belegt die Handlung im Original, nicht nur als spätere Zusammenfassung?</w:t>
      </w:r>
    </w:p>
    <w:p>
      <w:pPr>
        <w:pStyle w:val="ListBullet"/>
      </w:pPr>
      <w:r>
        <w:t>Wer war entscheidungsbefugt, wer hat nur zugearbeitet, wer hat lediglich informiert?</w:t>
      </w:r>
    </w:p>
    <w:p>
      <w:pPr>
        <w:pStyle w:val="ListBullet"/>
      </w:pPr>
      <w:r>
        <w:t>Welche Frist läuft tatsächlich, und welche Frist wird nur vorsorglich im Raum stehen gelassen?</w:t>
      </w:r>
    </w:p>
    <w:p>
      <w:pPr>
        <w:pStyle w:val="ListBullet"/>
      </w:pPr>
      <w:r>
        <w:t>Welche Tatsachen sollte man gegenüber Dritten mitteilen, und welche sollte man erst nach interner Prüfung festlegen?</w:t>
      </w:r>
    </w:p>
    <w:p>
      <w:pPr>
        <w:pStyle w:val="Heading2"/>
      </w:pPr>
      <w:r>
        <w:rPr>
          <w:rFonts w:ascii="Times New Roman" w:hAnsi="Times New Roman"/>
        </w:rPr>
        <w:t>Einschlägiger Rechtsrahmen</w:t>
      </w:r>
    </w:p>
    <w:p>
      <w:pPr>
        <w:jc w:val="left"/>
      </w:pPr>
      <w:r>
        <w:t>BGB §§ 327 ff., 433 ff., 475a ff., 439, 475b, 475c; Waren mit digitalen Elementen; Right-to-Repair-Regime; Produkthaftung und Datenschutz. Diese Normen sind in der Akte nicht als Zierde genannt, sondern bestimmen, welche Tatsachen fehlen: Vertragsschluss, Zuständigkeit, Zugang, Nachweis, Fristbeginn, Verschulden, Rechtsfolge und mögliche Heilung.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