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SmartKühl Köln: digitale Elemente, Updatepflicht und Reparaturrecht“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smarter Kühlschrank verliert Updates, sperrt Lebensmittelbestellungen, ein Reparaturversuch beschädigt Sensorik und der Händler verweist auf den Hersteller.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BGB §§ 327 ff., 433 ff., 475a ff., 439, 475b, 475c; Waren mit digitalen Elementen; Right-to-Repair-Regime; Produkthaftung und Datenschutz.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