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SmartKühl Köln: digitale Elemente, Updatepflicht und Reparaturrecht</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smarter Kühlschrank verliert Updates, sperrt Lebensmittelbestellungen, ein Reparaturversuch beschädigt Sensorik und der Händler verweist auf den Hersteller.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BGB §§ 327 ff., 433 ff., 475a ff., 439, 475b, 475c; Waren mit digitalen Elementen; Right-to-Repair-Regime; Produkthaftung und Datenschutz.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