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Anspruchsmatrix Arbeitsstand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Anspruch/Ziel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Gegner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Ansatz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Offene Beweise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Nacherfüllung Reparatur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Elektrohaus Brückner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§§ 437, 439 BGB; Ware mit digitalen Elementen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Update-Log, Technikertermin, Diagnosezugang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Ersatzlieferung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Elektrohaus Brückner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Fehlschlagen/Unzumutbarkeit Reparatur prüfen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Lieferbarkeit FR-900 oder Nachfolgemodell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Minderung/Rücktritt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Elektrohaus Brückner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nach Fristablauf, erheblicher Mangel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Temperaturprotokoll, Funktion Eiswürfelmodul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Schadensersatz Lebensmittel/Pütz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Elektrohaus Brückner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§§ 280, 437 BGB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Kausalität Temperatur, Belege Einkauf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CarePlus-Leistung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Brückner/VestaCool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Garantiebedingungen unklar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vollständige CarePlus-Bedingungen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Reparaturzugang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VestaCool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produktrechtlich/vertraglich prüfen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Servicepolicy, EU-Repair-Stand, Sicherheitsargument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Produktbeobachtung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VestaCool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Häufung IceModule-Calibration-Fails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interne Notiz, weitere Kundenfälle</w:t>
            </w:r>
          </w:p>
        </w:tc>
      </w:tr>
    </w:tbl>
    <w:p>
      <w:pPr>
        <w:jc w:val="left"/>
      </w:pPr>
      <w:r>
        <w:t>Arbeitsnotiz: Keine abschließende Lösung formulieren. Erst logs und CarePlus-Bedingungen anfordern.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