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02 — Medizinische Diagnosen und Befundchronologie</w:t>
      </w:r>
    </w:p>
    <w:p>
      <w:pPr>
        <w:jc w:val="left"/>
      </w:pPr>
      <w:r>
        <w:rPr>
          <w:b/>
        </w:rPr>
        <w:t>Mandantin:</w:t>
      </w:r>
      <w:r>
        <w:t xml:space="preserve"> Marion Vogelweide, geb. 14.03.1974</w:t>
      </w:r>
    </w:p>
    <w:p>
      <w:pPr>
        <w:jc w:val="left"/>
      </w:pPr>
      <w:r>
        <w:rPr>
          <w:b/>
        </w:rPr>
        <w:t>Bezug:</w:t>
      </w:r>
      <w:r>
        <w:t xml:space="preserve"> BU-Klage LG Aachen 5 O 102/26; Anlage K 3</w:t>
      </w:r>
    </w:p>
    <w:p/>
    <w:p>
      <w:pPr>
        <w:pStyle w:val="Heading2"/>
      </w:pPr>
      <w:r>
        <w:rPr>
          <w:rFonts w:ascii="Times New Roman" w:hAnsi="Times New Roman"/>
        </w:rPr>
        <w:t>Zusammenfassung der gesundheitlichen Beschwerden</w:t>
      </w:r>
    </w:p>
    <w:p>
      <w:pPr>
        <w:jc w:val="left"/>
      </w:pPr>
      <w:r>
        <w:t>Frau Vogelweide leidet seit mindestens Frühjahr 2024 an einer Kombination aus orthopädischen, dermatologischen und psychiatrischen Erkrankungen, die in ihrer Gesamtheit eine Berufsunfähigkeit als Altenpflegerin im Sinne von § 172 VVG begründen. Die einzelnen Erkrankungen sind wechselseitig verstärkend und bedingen sich gegenseitig.</w:t>
      </w:r>
    </w:p>
    <w:p/>
    <w:p>
      <w:pPr>
        <w:pStyle w:val="Heading2"/>
      </w:pPr>
      <w:r>
        <w:rPr>
          <w:rFonts w:ascii="Times New Roman" w:hAnsi="Times New Roman"/>
        </w:rPr>
        <w:t>Diagnosen im Überblick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ICD-10-Code</w:t>
            </w:r>
          </w:p>
        </w:tc>
        <w:tc>
          <w:tcPr>
            <w:tcW w:type="dxa" w:w="1814"/>
          </w:tcPr>
          <w:p>
            <w:r>
              <w:rPr>
                <w:rFonts w:ascii="Times New Roman" w:hAnsi="Times New Roman"/>
                <w:b/>
                <w:sz w:val="20"/>
              </w:rPr>
              <w:t>Bezeichnung</w:t>
            </w:r>
          </w:p>
        </w:tc>
        <w:tc>
          <w:tcPr>
            <w:tcW w:type="dxa" w:w="1814"/>
          </w:tcPr>
          <w:p>
            <w:r>
              <w:rPr>
                <w:rFonts w:ascii="Times New Roman" w:hAnsi="Times New Roman"/>
                <w:b/>
                <w:sz w:val="20"/>
              </w:rPr>
              <w:t>Erst-Diagnose</w:t>
            </w:r>
          </w:p>
        </w:tc>
        <w:tc>
          <w:tcPr>
            <w:tcW w:type="dxa" w:w="1814"/>
          </w:tcPr>
          <w:p>
            <w:r>
              <w:rPr>
                <w:rFonts w:ascii="Times New Roman" w:hAnsi="Times New Roman"/>
                <w:b/>
                <w:sz w:val="20"/>
              </w:rPr>
              <w:t>Behandler</w:t>
            </w:r>
          </w:p>
        </w:tc>
      </w:tr>
      <w:tr>
        <w:tc>
          <w:tcPr>
            <w:tcW w:type="dxa" w:w="1814"/>
          </w:tcPr>
          <w:p>
            <w:r>
              <w:rPr>
                <w:rFonts w:ascii="Times New Roman" w:hAnsi="Times New Roman"/>
                <w:sz w:val="20"/>
              </w:rPr>
              <w:t>1</w:t>
            </w:r>
          </w:p>
        </w:tc>
        <w:tc>
          <w:tcPr>
            <w:tcW w:type="dxa" w:w="1814"/>
          </w:tcPr>
          <w:p>
            <w:r>
              <w:rPr>
                <w:rFonts w:ascii="Times New Roman" w:hAnsi="Times New Roman"/>
                <w:sz w:val="20"/>
              </w:rPr>
              <w:t>M50.1</w:t>
            </w:r>
          </w:p>
        </w:tc>
        <w:tc>
          <w:tcPr>
            <w:tcW w:type="dxa" w:w="1814"/>
          </w:tcPr>
          <w:p>
            <w:r>
              <w:rPr>
                <w:rFonts w:ascii="Times New Roman" w:hAnsi="Times New Roman"/>
                <w:sz w:val="20"/>
              </w:rPr>
              <w:t>Bandscheibendegeneration HWS mit Radikulopathie C5/C6</w:t>
            </w:r>
          </w:p>
        </w:tc>
        <w:tc>
          <w:tcPr>
            <w:tcW w:type="dxa" w:w="1814"/>
          </w:tcPr>
          <w:p>
            <w:r>
              <w:rPr>
                <w:rFonts w:ascii="Times New Roman" w:hAnsi="Times New Roman"/>
                <w:sz w:val="20"/>
              </w:rPr>
              <w:t>März 2024</w:t>
            </w:r>
          </w:p>
        </w:tc>
        <w:tc>
          <w:tcPr>
            <w:tcW w:type="dxa" w:w="1814"/>
          </w:tcPr>
          <w:p>
            <w:r>
              <w:rPr>
                <w:rFonts w:ascii="Times New Roman" w:hAnsi="Times New Roman"/>
                <w:sz w:val="20"/>
              </w:rPr>
              <w:t>Dr. Scholz, Neurochirurgie Aachen</w:t>
            </w:r>
          </w:p>
        </w:tc>
      </w:tr>
      <w:tr>
        <w:tc>
          <w:tcPr>
            <w:tcW w:type="dxa" w:w="1814"/>
          </w:tcPr>
          <w:p>
            <w:r>
              <w:rPr>
                <w:rFonts w:ascii="Times New Roman" w:hAnsi="Times New Roman"/>
                <w:sz w:val="20"/>
              </w:rPr>
              <w:t>2</w:t>
            </w:r>
          </w:p>
        </w:tc>
        <w:tc>
          <w:tcPr>
            <w:tcW w:type="dxa" w:w="1814"/>
          </w:tcPr>
          <w:p>
            <w:r>
              <w:rPr>
                <w:rFonts w:ascii="Times New Roman" w:hAnsi="Times New Roman"/>
                <w:sz w:val="20"/>
              </w:rPr>
              <w:t>M54.4</w:t>
            </w:r>
          </w:p>
        </w:tc>
        <w:tc>
          <w:tcPr>
            <w:tcW w:type="dxa" w:w="1814"/>
          </w:tcPr>
          <w:p>
            <w:r>
              <w:rPr>
                <w:rFonts w:ascii="Times New Roman" w:hAnsi="Times New Roman"/>
                <w:sz w:val="20"/>
              </w:rPr>
              <w:t>Lumboischialgie / chron. LWS-Schmerzsyndrom</w:t>
            </w:r>
          </w:p>
        </w:tc>
        <w:tc>
          <w:tcPr>
            <w:tcW w:type="dxa" w:w="1814"/>
          </w:tcPr>
          <w:p>
            <w:r>
              <w:rPr>
                <w:rFonts w:ascii="Times New Roman" w:hAnsi="Times New Roman"/>
                <w:sz w:val="20"/>
              </w:rPr>
              <w:t>August 2022</w:t>
            </w:r>
          </w:p>
        </w:tc>
        <w:tc>
          <w:tcPr>
            <w:tcW w:type="dxa" w:w="1814"/>
          </w:tcPr>
          <w:p>
            <w:r>
              <w:rPr>
                <w:rFonts w:ascii="Times New Roman" w:hAnsi="Times New Roman"/>
                <w:sz w:val="20"/>
              </w:rPr>
              <w:t>Dr. Brandt, Orthopädie Aachen-Brand</w:t>
            </w:r>
          </w:p>
        </w:tc>
      </w:tr>
      <w:tr>
        <w:tc>
          <w:tcPr>
            <w:tcW w:type="dxa" w:w="1814"/>
          </w:tcPr>
          <w:p>
            <w:r>
              <w:rPr>
                <w:rFonts w:ascii="Times New Roman" w:hAnsi="Times New Roman"/>
                <w:sz w:val="20"/>
              </w:rPr>
              <w:t>3</w:t>
            </w:r>
          </w:p>
        </w:tc>
        <w:tc>
          <w:tcPr>
            <w:tcW w:type="dxa" w:w="1814"/>
          </w:tcPr>
          <w:p>
            <w:r>
              <w:rPr>
                <w:rFonts w:ascii="Times New Roman" w:hAnsi="Times New Roman"/>
                <w:sz w:val="20"/>
              </w:rPr>
              <w:t>F32.1</w:t>
            </w:r>
          </w:p>
        </w:tc>
        <w:tc>
          <w:tcPr>
            <w:tcW w:type="dxa" w:w="1814"/>
          </w:tcPr>
          <w:p>
            <w:r>
              <w:rPr>
                <w:rFonts w:ascii="Times New Roman" w:hAnsi="Times New Roman"/>
                <w:sz w:val="20"/>
              </w:rPr>
              <w:t>Mittelgradige depressive Episode</w:t>
            </w:r>
          </w:p>
        </w:tc>
        <w:tc>
          <w:tcPr>
            <w:tcW w:type="dxa" w:w="1814"/>
          </w:tcPr>
          <w:p>
            <w:r>
              <w:rPr>
                <w:rFonts w:ascii="Times New Roman" w:hAnsi="Times New Roman"/>
                <w:sz w:val="20"/>
              </w:rPr>
              <w:t>Januar 2025</w:t>
            </w:r>
          </w:p>
        </w:tc>
        <w:tc>
          <w:tcPr>
            <w:tcW w:type="dxa" w:w="1814"/>
          </w:tcPr>
          <w:p>
            <w:r>
              <w:rPr>
                <w:rFonts w:ascii="Times New Roman" w:hAnsi="Times New Roman"/>
                <w:sz w:val="20"/>
              </w:rPr>
              <w:t>Dr. Hermanns, Psychiatrie Aachen</w:t>
            </w:r>
          </w:p>
        </w:tc>
      </w:tr>
      <w:tr>
        <w:tc>
          <w:tcPr>
            <w:tcW w:type="dxa" w:w="1814"/>
          </w:tcPr>
          <w:p>
            <w:r>
              <w:rPr>
                <w:rFonts w:ascii="Times New Roman" w:hAnsi="Times New Roman"/>
                <w:sz w:val="20"/>
              </w:rPr>
              <w:t>4</w:t>
            </w:r>
          </w:p>
        </w:tc>
        <w:tc>
          <w:tcPr>
            <w:tcW w:type="dxa" w:w="1814"/>
          </w:tcPr>
          <w:p>
            <w:r>
              <w:rPr>
                <w:rFonts w:ascii="Times New Roman" w:hAnsi="Times New Roman"/>
                <w:sz w:val="20"/>
              </w:rPr>
              <w:t>F43.2</w:t>
            </w:r>
          </w:p>
        </w:tc>
        <w:tc>
          <w:tcPr>
            <w:tcW w:type="dxa" w:w="1814"/>
          </w:tcPr>
          <w:p>
            <w:r>
              <w:rPr>
                <w:rFonts w:ascii="Times New Roman" w:hAnsi="Times New Roman"/>
                <w:sz w:val="20"/>
              </w:rPr>
              <w:t>Anpassungsstörung bei Mobbing-Belastung</w:t>
            </w:r>
          </w:p>
        </w:tc>
        <w:tc>
          <w:tcPr>
            <w:tcW w:type="dxa" w:w="1814"/>
          </w:tcPr>
          <w:p>
            <w:r>
              <w:rPr>
                <w:rFonts w:ascii="Times New Roman" w:hAnsi="Times New Roman"/>
                <w:sz w:val="20"/>
              </w:rPr>
              <w:t>November 2024</w:t>
            </w:r>
          </w:p>
        </w:tc>
        <w:tc>
          <w:tcPr>
            <w:tcW w:type="dxa" w:w="1814"/>
          </w:tcPr>
          <w:p>
            <w:r>
              <w:rPr>
                <w:rFonts w:ascii="Times New Roman" w:hAnsi="Times New Roman"/>
                <w:sz w:val="20"/>
              </w:rPr>
              <w:t>Dr. Hermanns, Psychiatrie Aachen</w:t>
            </w:r>
          </w:p>
        </w:tc>
      </w:tr>
      <w:tr>
        <w:tc>
          <w:tcPr>
            <w:tcW w:type="dxa" w:w="1814"/>
          </w:tcPr>
          <w:p>
            <w:r>
              <w:rPr>
                <w:rFonts w:ascii="Times New Roman" w:hAnsi="Times New Roman"/>
                <w:sz w:val="20"/>
              </w:rPr>
              <w:t>5</w:t>
            </w:r>
          </w:p>
        </w:tc>
        <w:tc>
          <w:tcPr>
            <w:tcW w:type="dxa" w:w="1814"/>
          </w:tcPr>
          <w:p>
            <w:r>
              <w:rPr>
                <w:rFonts w:ascii="Times New Roman" w:hAnsi="Times New Roman"/>
                <w:sz w:val="20"/>
              </w:rPr>
              <w:t>L23.5</w:t>
            </w:r>
          </w:p>
        </w:tc>
        <w:tc>
          <w:tcPr>
            <w:tcW w:type="dxa" w:w="1814"/>
          </w:tcPr>
          <w:p>
            <w:r>
              <w:rPr>
                <w:rFonts w:ascii="Times New Roman" w:hAnsi="Times New Roman"/>
                <w:sz w:val="20"/>
              </w:rPr>
              <w:t>Allergisches Kontaktekzem (Latex, Glutaraldehyd)</w:t>
            </w:r>
          </w:p>
        </w:tc>
        <w:tc>
          <w:tcPr>
            <w:tcW w:type="dxa" w:w="1814"/>
          </w:tcPr>
          <w:p>
            <w:r>
              <w:rPr>
                <w:rFonts w:ascii="Times New Roman" w:hAnsi="Times New Roman"/>
                <w:sz w:val="20"/>
              </w:rPr>
              <w:t>2019 (chron.)</w:t>
            </w:r>
          </w:p>
        </w:tc>
        <w:tc>
          <w:tcPr>
            <w:tcW w:type="dxa" w:w="1814"/>
          </w:tcPr>
          <w:p>
            <w:r>
              <w:rPr>
                <w:rFonts w:ascii="Times New Roman" w:hAnsi="Times New Roman"/>
                <w:sz w:val="20"/>
              </w:rPr>
              <w:t>BGW-Gutachten 2025</w:t>
            </w:r>
          </w:p>
        </w:tc>
      </w:tr>
      <w:tr>
        <w:tc>
          <w:tcPr>
            <w:tcW w:type="dxa" w:w="1814"/>
          </w:tcPr>
          <w:p>
            <w:r>
              <w:rPr>
                <w:rFonts w:ascii="Times New Roman" w:hAnsi="Times New Roman"/>
                <w:sz w:val="20"/>
              </w:rPr>
              <w:t>6</w:t>
            </w:r>
          </w:p>
        </w:tc>
        <w:tc>
          <w:tcPr>
            <w:tcW w:type="dxa" w:w="1814"/>
          </w:tcPr>
          <w:p>
            <w:r>
              <w:rPr>
                <w:rFonts w:ascii="Times New Roman" w:hAnsi="Times New Roman"/>
                <w:sz w:val="20"/>
              </w:rPr>
              <w:t>T78.1</w:t>
            </w:r>
          </w:p>
        </w:tc>
        <w:tc>
          <w:tcPr>
            <w:tcW w:type="dxa" w:w="1814"/>
          </w:tcPr>
          <w:p>
            <w:r>
              <w:rPr>
                <w:rFonts w:ascii="Times New Roman" w:hAnsi="Times New Roman"/>
                <w:sz w:val="20"/>
              </w:rPr>
              <w:t>Allergische Reaktion (Latexsensibilisierung)</w:t>
            </w:r>
          </w:p>
        </w:tc>
        <w:tc>
          <w:tcPr>
            <w:tcW w:type="dxa" w:w="1814"/>
          </w:tcPr>
          <w:p>
            <w:r>
              <w:rPr>
                <w:rFonts w:ascii="Times New Roman" w:hAnsi="Times New Roman"/>
                <w:sz w:val="20"/>
              </w:rPr>
              <w:t>2021</w:t>
            </w:r>
          </w:p>
        </w:tc>
        <w:tc>
          <w:tcPr>
            <w:tcW w:type="dxa" w:w="1814"/>
          </w:tcPr>
          <w:p>
            <w:r>
              <w:rPr>
                <w:rFonts w:ascii="Times New Roman" w:hAnsi="Times New Roman"/>
                <w:sz w:val="20"/>
              </w:rPr>
              <w:t>Dr. Nowak, Dermatologie Aachen</w:t>
            </w:r>
          </w:p>
        </w:tc>
      </w:tr>
      <w:tr>
        <w:tc>
          <w:tcPr>
            <w:tcW w:type="dxa" w:w="1814"/>
          </w:tcPr>
          <w:p>
            <w:r>
              <w:rPr>
                <w:rFonts w:ascii="Times New Roman" w:hAnsi="Times New Roman"/>
                <w:sz w:val="20"/>
              </w:rPr>
              <w:t>7</w:t>
            </w:r>
          </w:p>
        </w:tc>
        <w:tc>
          <w:tcPr>
            <w:tcW w:type="dxa" w:w="1814"/>
          </w:tcPr>
          <w:p>
            <w:r>
              <w:rPr>
                <w:rFonts w:ascii="Times New Roman" w:hAnsi="Times New Roman"/>
                <w:sz w:val="20"/>
              </w:rPr>
              <w:t>Z57.5</w:t>
            </w:r>
          </w:p>
        </w:tc>
        <w:tc>
          <w:tcPr>
            <w:tcW w:type="dxa" w:w="1814"/>
          </w:tcPr>
          <w:p>
            <w:r>
              <w:rPr>
                <w:rFonts w:ascii="Times New Roman" w:hAnsi="Times New Roman"/>
                <w:sz w:val="20"/>
              </w:rPr>
              <w:t>Exposition gegenüber toxischen Arbeitsstoffen</w:t>
            </w:r>
          </w:p>
        </w:tc>
        <w:tc>
          <w:tcPr>
            <w:tcW w:type="dxa" w:w="1814"/>
          </w:tcPr>
          <w:p>
            <w:r>
              <w:rPr>
                <w:rFonts w:ascii="Times New Roman" w:hAnsi="Times New Roman"/>
                <w:sz w:val="20"/>
              </w:rPr>
              <w:t>Dauerhaft</w:t>
            </w:r>
          </w:p>
        </w:tc>
        <w:tc>
          <w:tcPr>
            <w:tcW w:type="dxa" w:w="1814"/>
          </w:tcPr>
          <w:p>
            <w:r>
              <w:rPr>
                <w:rFonts w:ascii="Times New Roman" w:hAnsi="Times New Roman"/>
                <w:sz w:val="20"/>
              </w:rPr>
              <w:t>BGW</w:t>
            </w:r>
          </w:p>
        </w:tc>
      </w:tr>
    </w:tbl>
    <w:p/>
    <w:p>
      <w:pPr>
        <w:pStyle w:val="Heading2"/>
      </w:pPr>
      <w:r>
        <w:rPr>
          <w:rFonts w:ascii="Times New Roman" w:hAnsi="Times New Roman"/>
        </w:rPr>
        <w:t>Chronologischer Befundverlauf</w:t>
      </w:r>
    </w:p>
    <w:p>
      <w:pPr>
        <w:pStyle w:val="Heading3"/>
      </w:pPr>
      <w:r>
        <w:rPr>
          <w:rFonts w:ascii="Times New Roman" w:hAnsi="Times New Roman"/>
        </w:rPr>
        <w:t>2022</w:t>
      </w:r>
    </w:p>
    <w:p>
      <w:pPr>
        <w:jc w:val="left"/>
      </w:pPr>
      <w:r>
        <w:rPr>
          <w:b/>
        </w:rPr>
        <w:t>August 2022</w:t>
      </w:r>
      <w:r>
        <w:t xml:space="preserve"> — Erstvorstellung Dr. Brandt (Orthopädie): chronische LWS-Schmerzen seit ca. 2 Jahren, Arbeit in 12-Stunden-Schichten mit schwerer körperlicher Belastung (Heben/Lagern von Bewohnern). MRT LWS: L4/L5 Protrusion, L5/S1 beginnende Extrusion. Therapieempfehlung: Physiotherapie, NSAR bei Bedarf. Arbeitsunfähigkeit 3 Wochen.</w:t>
      </w:r>
    </w:p>
    <w:p>
      <w:pPr>
        <w:jc w:val="left"/>
      </w:pPr>
      <w:r>
        <w:rPr>
          <w:b/>
        </w:rPr>
        <w:t>November 2022</w:t>
      </w:r>
      <w:r>
        <w:t xml:space="preserve"> — Latexsensibilisierungs-Panel (RAST): Hevein-IgE positiv (Klasse 3). Glutaraldehyd-Epikutantest positiv (++). Dermatologische Empfehlung: konsequente Latexvermeidung am Arbeitsplatz. Arbeitgeber stellt keine latexfreien Handschuhe zur Verfügung — Konflikt mit Pflegedienstleitung.</w:t>
      </w:r>
    </w:p>
    <w:p/>
    <w:p>
      <w:pPr>
        <w:pStyle w:val="Heading3"/>
      </w:pPr>
      <w:r>
        <w:rPr>
          <w:rFonts w:ascii="Times New Roman" w:hAnsi="Times New Roman"/>
        </w:rPr>
        <w:t>2023</w:t>
      </w:r>
    </w:p>
    <w:p>
      <w:pPr>
        <w:jc w:val="left"/>
      </w:pPr>
      <w:r>
        <w:rPr>
          <w:b/>
        </w:rPr>
        <w:t>Laufend 2023</w:t>
      </w:r>
      <w:r>
        <w:t xml:space="preserve"> — Zunehmende Verschlechterung LWS unter Schichtdienst. Schmerzmedikation eskaliert auf Tilidin/Naloxon 50/4 mg retard, bedarfsweise Diclofenac 75 mg.</w:t>
      </w:r>
    </w:p>
    <w:p>
      <w:pPr>
        <w:jc w:val="left"/>
      </w:pPr>
      <w:r>
        <w:rPr>
          <w:b/>
        </w:rPr>
        <w:t>Oktober 2023</w:t>
      </w:r>
      <w:r>
        <w:t xml:space="preserve"> — Erstes Mobbing-Protokoll angelegt: Systematische Ausgrenzung durch neue Pflegedienstleitung Frau Köller, Zuweisung unzumutbarer Schichten, grundlose Abmahnungen.</w:t>
      </w:r>
    </w:p>
    <w:p/>
    <w:p>
      <w:pPr>
        <w:pStyle w:val="Heading3"/>
      </w:pPr>
      <w:r>
        <w:rPr>
          <w:rFonts w:ascii="Times New Roman" w:hAnsi="Times New Roman"/>
        </w:rPr>
        <w:t>2024</w:t>
      </w:r>
    </w:p>
    <w:p>
      <w:pPr>
        <w:jc w:val="left"/>
      </w:pPr>
      <w:r>
        <w:rPr>
          <w:b/>
        </w:rPr>
        <w:t>März 2024</w:t>
      </w:r>
      <w:r>
        <w:t xml:space="preserve"> — Erstvorstellung Dr. Scholz (Neurochirurgie): Nackenschmerzen mit Ausstrahlung in linken Arm, Taubheitsgefühl Finger D1–D3 links. MRT HWS: Diskushernie C5/C6 mit Foraminalstenose, Radikulopathie C6. Sofortige Arbeitsunfähigkeit.</w:t>
      </w:r>
    </w:p>
    <w:p>
      <w:pPr>
        <w:jc w:val="left"/>
      </w:pPr>
      <w:r>
        <w:rPr>
          <w:b/>
        </w:rPr>
        <w:t>September 2024</w:t>
      </w:r>
      <w:r>
        <w:t xml:space="preserve"> — Konservative Therapie (Schmerzblock, Physiotherapie) ohne dauerhaften Erfolg. Operationsplanung.</w:t>
      </w:r>
    </w:p>
    <w:p>
      <w:pPr>
        <w:jc w:val="left"/>
      </w:pPr>
      <w:r>
        <w:rPr>
          <w:b/>
        </w:rPr>
        <w:t>November 2024</w:t>
      </w:r>
      <w:r>
        <w:t xml:space="preserve"> — </w:t>
      </w:r>
      <w:r>
        <w:rPr>
          <w:b/>
        </w:rPr>
        <w:t>Operative Versorgung HWS C5/C6</w:t>
      </w:r>
      <w:r>
        <w:t xml:space="preserve"> durch anteriore zervikale Diskektomie und Fusion (ACDF) im Universitätsklinikum Aachen (UK Aachen), Unfallchirurgie / Wirbelsäulenzentrum. Post-OP-Verlauf komplikationslos, jedoch persistierende Restsymptomatik: Kraftminderung linke Hand (Griffstärke 60 % der Norm), Taubheitsgefühl.</w:t>
      </w:r>
    </w:p>
    <w:p>
      <w:pPr>
        <w:jc w:val="left"/>
      </w:pPr>
      <w:r>
        <w:rPr>
          <w:b/>
        </w:rPr>
        <w:t>November 2024</w:t>
      </w:r>
      <w:r>
        <w:t xml:space="preserve"> — Psychiatrische Erstvorstellung Dr. Hermanns: Diagnose Anpassungsstörung (F43.2) und beginnende Depression im Kontext des Mobbings. Pharmakotherapie: Sertralin 50 mg/d.</w:t>
      </w:r>
    </w:p>
    <w:p/>
    <w:p>
      <w:pPr>
        <w:pStyle w:val="Heading3"/>
      </w:pPr>
      <w:r>
        <w:rPr>
          <w:rFonts w:ascii="Times New Roman" w:hAnsi="Times New Roman"/>
        </w:rPr>
        <w:t>2025</w:t>
      </w:r>
    </w:p>
    <w:p>
      <w:pPr>
        <w:jc w:val="left"/>
      </w:pPr>
      <w:r>
        <w:rPr>
          <w:b/>
        </w:rPr>
        <w:t>Januar 2025</w:t>
      </w:r>
      <w:r>
        <w:t xml:space="preserve"> — Psychiatrische Verlaufskontrolle: Eskalation zur mittelgradigen depressiven Episode (F32.1). Sertralin auf 100 mg/d erhöht. Ergänzend: Mirtazapin 15 mg zur Nacht (Schlafstörungen). Arbeitsunfähigkeit fortlaufend seit März 2024.</w:t>
      </w:r>
    </w:p>
    <w:p>
      <w:pPr>
        <w:jc w:val="left"/>
      </w:pPr>
      <w:r>
        <w:rPr>
          <w:b/>
        </w:rPr>
        <w:t>März 2025</w:t>
      </w:r>
      <w:r>
        <w:t xml:space="preserve"> — BK-5101-Anzeige (schwere oder wiederholt rückfällige Hauterkrankungen) durch Betriebsarzt des St.-Antonius-Heims bei der BGW erstattet. Az. BGW-2025-BK-10924.</w:t>
      </w:r>
    </w:p>
    <w:p>
      <w:pPr>
        <w:jc w:val="left"/>
      </w:pPr>
      <w:r>
        <w:rPr>
          <w:b/>
        </w:rPr>
        <w:t>April 2025</w:t>
      </w:r>
      <w:r>
        <w:t xml:space="preserve"> — Skin-Prick-Test-Erweiterung: Thiuram-Mix positiv (+), Carba-Mix fraglich. Verstärkte Hautbefunde beider Hände: chronisch-hyperkeratotisches Ekzem, Rhagaden Fingerkuppen bilateral.</w:t>
      </w:r>
    </w:p>
    <w:p>
      <w:pPr>
        <w:jc w:val="left"/>
      </w:pPr>
      <w:r>
        <w:rPr>
          <w:b/>
        </w:rPr>
        <w:t>Juni 2025</w:t>
      </w:r>
      <w:r>
        <w:t xml:space="preserve"> — Neuropsychologische Testbatterie (HAWIE-IV, BDI-II): BDI-Score 29 (schwere Depression), kognitive Verlangsamung, Konzentrationsstörungen. Arbeitsfähigkeit für Pflegeleistungen: nicht gegeben.</w:t>
      </w:r>
    </w:p>
    <w:p>
      <w:pPr>
        <w:jc w:val="left"/>
      </w:pPr>
      <w:r>
        <w:rPr>
          <w:b/>
        </w:rPr>
        <w:t>August 2025</w:t>
      </w:r>
      <w:r>
        <w:t xml:space="preserve"> — Rentenärztlicher Gutachtensauftrag durch DRV Rheinland (im Rahmen paralleler Rentenversicherungsanfrage, Ergebnis noch ausstehend).</w:t>
      </w:r>
    </w:p>
    <w:p>
      <w:pPr>
        <w:jc w:val="left"/>
      </w:pPr>
      <w:r>
        <w:rPr>
          <w:b/>
        </w:rPr>
        <w:t>September 2025</w:t>
      </w:r>
      <w:r>
        <w:t xml:space="preserve"> — </w:t>
      </w:r>
      <w:r>
        <w:rPr>
          <w:b/>
        </w:rPr>
        <w:t>Eintritt der Berufsunfähigkeit</w:t>
      </w:r>
      <w:r>
        <w:t xml:space="preserve"> (Datum des letzten Arbeitstages 31.08.2025, ab 02.09.2025 keine Wiederherstellungsprognose laut Dr. Scholz und Dr. Hermanns).</w:t>
      </w:r>
    </w:p>
    <w:p/>
    <w:p>
      <w:pPr>
        <w:pStyle w:val="Heading3"/>
      </w:pPr>
      <w:r>
        <w:rPr>
          <w:rFonts w:ascii="Times New Roman" w:hAnsi="Times New Roman"/>
        </w:rPr>
        <w:t>2026</w:t>
      </w:r>
    </w:p>
    <w:p>
      <w:pPr>
        <w:jc w:val="left"/>
      </w:pPr>
      <w:r>
        <w:rPr>
          <w:b/>
        </w:rPr>
        <w:t>Januar 2026</w:t>
      </w:r>
      <w:r>
        <w:t xml:space="preserve"> — Gutachterliche Einschätzung Dr. Brandt: "Für die körperlich belastende Tätigkeit als Altenpflegerin (Heben, Lagern, Körperpflege stehend-gehend) ist Frau Vogelweide dauerhaft nicht mehr als 50 % einsatzfähig." Ärztliches Attest dem BU-Antrag beigefügt.</w:t>
      </w:r>
    </w:p>
    <w:p>
      <w:pPr>
        <w:jc w:val="left"/>
      </w:pPr>
      <w:r>
        <w:rPr>
          <w:b/>
        </w:rPr>
        <w:t>14. Februar 2026</w:t>
      </w:r>
      <w:r>
        <w:t xml:space="preserve"> — Ablehnungsschreiben DBV-Winterthur (vgl. Aktenstück 04).</w:t>
      </w:r>
    </w:p>
    <w:p/>
    <w:p>
      <w:pPr>
        <w:pStyle w:val="Heading2"/>
      </w:pPr>
      <w:r>
        <w:rPr>
          <w:rFonts w:ascii="Times New Roman" w:hAnsi="Times New Roman"/>
        </w:rPr>
        <w:t>Gutachterlage</w:t>
      </w:r>
    </w:p>
    <w:p>
      <w:pPr>
        <w:jc w:val="left"/>
      </w:pPr>
      <w:r>
        <w:t>Die behandelnden Ärzte Dr. Scholz (Neurochirurgie), Dr. Brandt (Orthopädie) und Dr. Hermanns (Psychiatrie) bestätigen übereinstimmend die vollständige Berufsunfähigkeit für den erlernten Beruf der Altenpflegerin. Ein Privatgutachten von Prof. Dr. med. Franz Kiesewetter (Berufsdermatologie, Universität Freiburg) zur Latexsensibilisierung ist in Vorbereitung (Bearbeitungszeit ca. 8 Wochen).</w:t>
      </w:r>
    </w:p>
    <w:p>
      <w:pPr>
        <w:jc w:val="left"/>
      </w:pPr>
      <w:r>
        <w:rPr>
          <w:b/>
        </w:rPr>
        <w:t>Quelle:</w:t>
      </w:r>
      <w:r>
        <w:t xml:space="preserve"> Befundberichte auf Anforderung bei behandelnden Ärzten vorliegend; vollständige Dokumentation als Anlage K 3 zur Klageschrift.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