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07 — Rechtliche Analyse BU-Klage</w:t>
      </w:r>
    </w:p>
    <w:p>
      <w:pPr>
        <w:jc w:val="left"/>
      </w:pPr>
      <w:r>
        <w:rPr>
          <w:b/>
        </w:rPr>
        <w:t>Verfasst von:</w:t>
      </w:r>
      <w:r>
        <w:t xml:space="preserve"> Dr. Annegret Müller-Hauck, FAin VersR</w:t>
      </w:r>
    </w:p>
    <w:p>
      <w:pPr>
        <w:jc w:val="left"/>
      </w:pPr>
      <w:r>
        <w:rPr>
          <w:b/>
        </w:rPr>
        <w:t>Datum:</w:t>
      </w:r>
      <w:r>
        <w:t xml:space="preserve"> 01.03.2026</w:t>
      </w:r>
    </w:p>
    <w:p>
      <w:pPr>
        <w:jc w:val="left"/>
      </w:pPr>
      <w:r>
        <w:rPr>
          <w:b/>
        </w:rPr>
        <w:t>Verfahren:</w:t>
      </w:r>
      <w:r>
        <w:t xml:space="preserve"> LG Aachen 5 O 102/26</w:t>
      </w:r>
    </w:p>
    <w:p/>
    <w:p>
      <w:pPr>
        <w:pStyle w:val="Heading2"/>
      </w:pPr>
      <w:r>
        <w:rPr>
          <w:rFonts w:ascii="Times New Roman" w:hAnsi="Times New Roman"/>
        </w:rPr>
        <w:t>I. Prüfungsgegenstand</w:t>
      </w:r>
    </w:p>
    <w:p>
      <w:pPr>
        <w:jc w:val="left"/>
      </w:pPr>
      <w:r>
        <w:t>Die DBV-Winterthur Vereinigte Lebensversicherung AG hat mit Schreiben vom 14.02.2026 die Zahlung der vereinbarten BU-Rente von monatlich 1.850,00 EUR abgelehnt. Die Ablehnung stützt sich auf drei Argumente: (1) keine ausreichende BU im Sinne der AVB, (2) mögliche Verweisung auf eine andere Tätigkeit, (3) fehlende Dauerhaftigkeit. Alle drei Ablehnungsgründe sind rechtlich angreifbar.</w:t>
      </w:r>
    </w:p>
    <w:p/>
    <w:p>
      <w:pPr>
        <w:pStyle w:val="Heading2"/>
      </w:pPr>
      <w:r>
        <w:rPr>
          <w:rFonts w:ascii="Times New Roman" w:hAnsi="Times New Roman"/>
        </w:rPr>
        <w:t>II. Zur BU-Definition — § 172 VVG und AVB-Auslegung</w:t>
      </w:r>
    </w:p>
    <w:p>
      <w:pPr>
        <w:jc w:val="left"/>
      </w:pPr>
      <w:r>
        <w:t>Die BUZ-AVB 1998 der DBV-Winterthur enthalten eine Berufsunfähigkeitsdefinition, die hinter dem gesetzlichen Mindeststandard des § 172 VVG zurückbleiben würde, wenn sie als vollständige Leistungsausschlüsse interpretiert würden. Nach der Schuldrechtsmodernisierung und dem VVG-Reformgesetz 2008 gelten die Mindeststandards des § 172 VVG zwingend (§ 172 Abs. 3 VVG: abdingungsfest zugunsten des VN).</w:t>
      </w:r>
    </w:p>
    <w:p>
      <w:pPr>
        <w:jc w:val="left"/>
      </w:pPr>
      <w:r>
        <w:rPr>
          <w:b/>
        </w:rPr>
        <w:t>Kernfragen:</w:t>
      </w:r>
    </w:p>
    <w:p>
      <w:pPr>
        <w:pStyle w:val="ListNumber"/>
      </w:pPr>
      <w:r>
        <w:rPr>
          <w:b/>
        </w:rPr>
        <w:t>50-%-Schwelle</w:t>
      </w:r>
      <w:r>
        <w:t>: Die AVB setzen voraus, dass die versicherte Person ihren Beruf zu mindestens 50 % nicht mehr ausüben kann. Diese Schwelle ist bei Frau Vogelweide eindeutig überschritten: Sie kann weder heben/lagern, noch Desinfektionsmittelkontakt tolerieren, noch Nacht-/Schichtdienste leisten. Diese Tätigkeiten machen nach der Tätigkeitsanalyse des Arbeitgebers mehr als 60 % der Kernaufgaben aus.</w:t>
      </w:r>
    </w:p>
    <w:p>
      <w:pPr>
        <w:pStyle w:val="ListNumber"/>
      </w:pPr>
      <w:r>
        <w:rPr>
          <w:b/>
        </w:rPr>
        <w:t>Beurteilungsmaßstab</w:t>
      </w:r>
      <w:r>
        <w:t>: Maßgeblich ist der konkrete zuletzt ausgeübte Beruf in seiner konkreten Ausgestaltung (vgl. BGH IV ZR 275/08, Urt. v. 07.07.2010). Frau Vogelweide war Vollzeit-Altenpflegerin mit Schichtdienst, Praxisanleitungs- und Wohnbereichsleitungsaufgaben. Die körperliche Komponente überwiegt.</w:t>
      </w:r>
    </w:p>
    <w:p/>
    <w:p>
      <w:pPr>
        <w:pStyle w:val="Heading2"/>
      </w:pPr>
      <w:r>
        <w:rPr>
          <w:rFonts w:ascii="Times New Roman" w:hAnsi="Times New Roman"/>
        </w:rPr>
        <w:t>III. Zur unzulässigen Verweisung</w:t>
      </w:r>
    </w:p>
    <w:p>
      <w:pPr>
        <w:jc w:val="left"/>
      </w:pPr>
      <w:r>
        <w:t>Der Versicherer verweist auf "Pflegedokumentation, Pflegeberatung oder Heimverwaltung". Dies ist aus folgenden Gründen unzulässig:</w:t>
      </w:r>
    </w:p>
    <w:p>
      <w:pPr>
        <w:jc w:val="left"/>
      </w:pPr>
      <w:r>
        <w:rPr>
          <w:b/>
        </w:rPr>
        <w:t>a) Qualifikationsgleichheit nicht gegeben</w:t>
      </w:r>
      <w:r>
        <w:t>: Heimverwaltungstätigkeiten erfordern betriebswirtschaftliche Qualifikationen, die Frau Vogelweide nicht besitzt. Pflegeberatungstätigkeiten setzen in der Regel eine Weiterqualifikation (z. B. nach § 7a SGB XI) voraus.</w:t>
      </w:r>
    </w:p>
    <w:p>
      <w:pPr>
        <w:jc w:val="left"/>
      </w:pPr>
      <w:r>
        <w:rPr>
          <w:b/>
        </w:rPr>
        <w:t>b) Fehlende Konkretisierung</w:t>
      </w:r>
      <w:r>
        <w:t>: Gemäß BGH IV ZR 244/03 (Urt. v. 07.02.2007) muss der Versicherer konkrete Verweisungsstellen benennen und nachweisen, dass die Versicherte dort nach ihren gesundheitlichen Fähigkeiten tatsächlich arbeiten könnte. Das Ablehnungsschreiben enthält keinerlei Konkretisierung.</w:t>
      </w:r>
    </w:p>
    <w:p>
      <w:pPr>
        <w:jc w:val="left"/>
      </w:pPr>
      <w:r>
        <w:rPr>
          <w:b/>
        </w:rPr>
        <w:t>c) Lebensstellung</w:t>
      </w:r>
      <w:r>
        <w:t>: Eine Heimverwaltungsstelle wäre als Teilzeitstelle in der Regel vergütungsmäßig nicht mit der Vollzeit-Altenpflegestelle vergleichbar (Brutto ca. 2.750 EUR monatlich nach TVöD Pflegekasse). Die Lebensstellungsklausel schließt Verweisungen auf erheblich schlechter bezahlte Tätigkeiten aus (BGH IV ZR 203/92).</w:t>
      </w:r>
    </w:p>
    <w:p/>
    <w:p>
      <w:pPr>
        <w:pStyle w:val="Heading2"/>
      </w:pPr>
      <w:r>
        <w:rPr>
          <w:rFonts w:ascii="Times New Roman" w:hAnsi="Times New Roman"/>
        </w:rPr>
        <w:t>IV. Zur Dauerhaftigkeit</w:t>
      </w:r>
    </w:p>
    <w:p>
      <w:pPr>
        <w:jc w:val="left"/>
      </w:pPr>
      <w:r>
        <w:t>Die Rechtsprechung hat den Begriff der Dauerhaftigkeit ausgiebig präzisiert: Es genügt, wenn mit überwiegender Wahrscheinlichkeit eine vollständige Wiederherstellung der Erwerbsfähigkeit innerhalb von 3 Jahren nicht zu erwarten ist (vgl. BGH IV ZR 99/95). Die Kombination aus:</w:t>
      </w:r>
    </w:p>
    <w:p>
      <w:pPr>
        <w:pStyle w:val="ListBullet"/>
      </w:pPr>
      <w:r>
        <w:t>operiertem HWS-Bandscheibenvorfall mit Residualsymptomatik (Kraftminderung, Parästhesien),</w:t>
      </w:r>
    </w:p>
    <w:p>
      <w:pPr>
        <w:pStyle w:val="ListBullet"/>
      </w:pPr>
      <w:r>
        <w:t>chronischem LWS-Syndrom (seit &gt; 3 Jahren),</w:t>
      </w:r>
    </w:p>
    <w:p>
      <w:pPr>
        <w:pStyle w:val="ListBullet"/>
      </w:pPr>
      <w:r>
        <w:t>psychiatrischer Komorbidität (Depression seit Januar 2025, Sertralin + Mirtazapin ohne vollständige Remission),</w:t>
      </w:r>
    </w:p>
    <w:p>
      <w:pPr>
        <w:pStyle w:val="ListBullet"/>
      </w:pPr>
      <w:r>
        <w:t>irreversibler Latexsensibilisierung (IgE-vermittelt, einmal erworben nicht reversibel)</w:t>
      </w:r>
    </w:p>
    <w:p>
      <w:pPr>
        <w:jc w:val="left"/>
      </w:pPr>
      <w:r>
        <w:t>begründet eine dauerhafte BU mit hoher medizinischer Wahrscheinlichkeit. Insbesondere die Latexsensibilisierung ist nach derzeitigem medizinischen Erkenntnisstand irreversibel und macht den Einsatz in pflegerischen Umgebungen dauerhaft unmöglich.</w:t>
      </w:r>
    </w:p>
    <w:p/>
    <w:p>
      <w:pPr>
        <w:pStyle w:val="Heading2"/>
      </w:pPr>
      <w:r>
        <w:rPr>
          <w:rFonts w:ascii="Times New Roman" w:hAnsi="Times New Roman"/>
        </w:rPr>
        <w:t>V. Klagestrategie</w:t>
      </w:r>
    </w:p>
    <w:p>
      <w:pPr>
        <w:jc w:val="left"/>
      </w:pPr>
      <w:r>
        <w:rPr>
          <w:b/>
        </w:rPr>
        <w:t>Streitwert</w:t>
      </w:r>
      <w:r>
        <w:t>: 133.200 EUR (1.850 EUR × 12 × 6 Jahre, vereinfachte Berechnung nach § 9 ZPO, Restlaufzeit bis Endalter 65 im Jahr 2039 = 13 Jahre; realistisch 133.200 EUR nach § 23 GKG).</w:t>
      </w:r>
    </w:p>
    <w:p>
      <w:pPr>
        <w:jc w:val="left"/>
      </w:pPr>
      <w:r>
        <w:rPr>
          <w:b/>
        </w:rPr>
        <w:t>Gericht</w:t>
      </w:r>
      <w:r>
        <w:t>: LG Aachen, zuständig nach § 215 VVG (Wohnsitz der Versicherungsnehmerin).</w:t>
      </w:r>
    </w:p>
    <w:p>
      <w:pPr>
        <w:jc w:val="left"/>
      </w:pPr>
      <w:r>
        <w:rPr>
          <w:b/>
        </w:rPr>
        <w:t>Klageantrag</w:t>
      </w:r>
      <w:r>
        <w:t>: Feststellung der BU sowie Zahlung rückständiger BU-Rente seit 01.09.2025.</w:t>
      </w:r>
    </w:p>
    <w:p>
      <w:pPr>
        <w:jc w:val="left"/>
      </w:pPr>
      <w:r>
        <w:rPr>
          <w:b/>
        </w:rPr>
        <w:t>Beweismittel</w:t>
      </w:r>
      <w:r>
        <w:t>: Sachverständigengutachten (Orthopädie, Psychiatrie, Dermatologie), Tätigkeitsanalyse, Zeugen (Dr. Brandt, Dr. Scholz, Dr. Hermanns).</w:t>
      </w:r>
    </w:p>
    <w:p/>
    <w:p>
      <w:pPr>
        <w:pStyle w:val="Heading2"/>
      </w:pPr>
      <w:r>
        <w:rPr>
          <w:rFonts w:ascii="Times New Roman" w:hAnsi="Times New Roman"/>
        </w:rPr>
        <w:t>VI. Einschlägige Rechtsprechung</w:t>
      </w:r>
    </w:p>
    <w:p>
      <w:pPr>
        <w:pStyle w:val="ListBullet"/>
      </w:pPr>
      <w:r>
        <w:t>BGH IV ZR 99/95 — Dauerhaftigkeit der BU, Prognose 3-Jahres-Horizont</w:t>
      </w:r>
    </w:p>
    <w:p>
      <w:pPr>
        <w:pStyle w:val="ListBullet"/>
      </w:pPr>
      <w:r>
        <w:t>BGH IV ZR 203/92 — Lebensstellung bei Verweisungsklausel</w:t>
      </w:r>
    </w:p>
    <w:p>
      <w:pPr>
        <w:pStyle w:val="ListBullet"/>
      </w:pPr>
      <w:r>
        <w:t>BGH IV ZR 244/03 — Konkretisierungspflicht des Versicherers bei Verweisung</w:t>
      </w:r>
    </w:p>
    <w:p>
      <w:pPr>
        <w:pStyle w:val="ListBullet"/>
      </w:pPr>
      <w:r>
        <w:t>BGH IV ZR 275/08 — Maßgeblichkeit des konkret ausgeübten Berufs</w:t>
      </w:r>
    </w:p>
    <w:p>
      <w:pPr>
        <w:pStyle w:val="ListBullet"/>
      </w:pPr>
      <w:r>
        <w:t>OLG Köln, Urt. v. 09.12.2020 – 20 U 125/19 — Pflegerin als Berufsgruppe mit körperlichem Schwerpunkt</w:t>
      </w:r>
    </w:p>
    <w:p>
      <w:pPr>
        <w:jc w:val="left"/>
      </w:pPr>
      <w:r>
        <w:t>Quellen: dejure.org, openjur.de, bundesgerichtshof.de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