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Aktenstück 11 — Tätigkeitsanalyse: Berufsbild Altenpflegerin</w:t>
      </w:r>
    </w:p>
    <w:p>
      <w:pPr>
        <w:jc w:val="left"/>
      </w:pPr>
      <w:r>
        <w:rPr>
          <w:b/>
        </w:rPr>
        <w:t>Zweck:</w:t>
      </w:r>
      <w:r>
        <w:t xml:space="preserve"> Nachweis des Berufsbilds für BU-Klage (LG Aachen 5 O 102/26)</w:t>
      </w:r>
    </w:p>
    <w:p>
      <w:pPr>
        <w:jc w:val="left"/>
      </w:pPr>
      <w:r>
        <w:rPr>
          <w:b/>
        </w:rPr>
        <w:t>Erstellt von:</w:t>
      </w:r>
      <w:r>
        <w:t xml:space="preserve"> Kanzlei Müller-Hauck, auf Basis der Tätigkeitsbeschreibung des Arbeitgebers St.-Antonius-Heim GmbH (Anlage K 4) und des Deutschen Qualifikationsrahmens für Pflegeberufe</w:t>
      </w:r>
    </w:p>
    <w:p/>
    <w:p>
      <w:pPr>
        <w:pStyle w:val="Heading2"/>
      </w:pPr>
      <w:r>
        <w:rPr>
          <w:rFonts w:ascii="Times New Roman" w:hAnsi="Times New Roman"/>
        </w:rPr>
        <w:t>I. Gesetzlicher Rahmen — Pflegeberufegesetz (PflBG)</w:t>
      </w:r>
    </w:p>
    <w:p>
      <w:pPr>
        <w:jc w:val="left"/>
      </w:pPr>
      <w:r>
        <w:t>Das Pflegeberufegesetz vom 17.07.2017 (BGBl. I S. 2581, in Kraft seit 01.01.2020) hat den Beruf der Altenpflegerin mit den Berufen der Gesundheits- und Krankenpflegerin sowie der Gesundheits- und Kinderkrankenpflegerin zu einem generalistischen Pflegeberuf zusammengeführt. Für Frau Vogelweide, die noch unter dem alten Altenpflegegesetz von 1985 ausgebildet wurde und 2026 klagt, gilt das Berufsbild zum Zeitpunkt des Berufsaustritts (2025) als maßgeblich.</w:t>
      </w:r>
    </w:p>
    <w:p/>
    <w:p>
      <w:pPr>
        <w:pStyle w:val="Heading2"/>
      </w:pPr>
      <w:r>
        <w:rPr>
          <w:rFonts w:ascii="Times New Roman" w:hAnsi="Times New Roman"/>
        </w:rPr>
        <w:t>II. Kerntätigkeiten (Zeitanteile laut Arbeitgeberbescheinigung)</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Nr.</w:t>
            </w:r>
          </w:p>
        </w:tc>
        <w:tc>
          <w:tcPr>
            <w:tcW w:type="dxa" w:w="2268"/>
          </w:tcPr>
          <w:p>
            <w:r>
              <w:rPr>
                <w:rFonts w:ascii="Times New Roman" w:hAnsi="Times New Roman"/>
                <w:b/>
                <w:sz w:val="20"/>
              </w:rPr>
              <w:t>Tätigkeit</w:t>
            </w:r>
          </w:p>
        </w:tc>
        <w:tc>
          <w:tcPr>
            <w:tcW w:type="dxa" w:w="2268"/>
          </w:tcPr>
          <w:p>
            <w:r>
              <w:rPr>
                <w:rFonts w:ascii="Times New Roman" w:hAnsi="Times New Roman"/>
                <w:b/>
                <w:sz w:val="20"/>
              </w:rPr>
              <w:t>Zeitanteil</w:t>
            </w:r>
          </w:p>
        </w:tc>
        <w:tc>
          <w:tcPr>
            <w:tcW w:type="dxa" w:w="2268"/>
          </w:tcPr>
          <w:p>
            <w:r>
              <w:rPr>
                <w:rFonts w:ascii="Times New Roman" w:hAnsi="Times New Roman"/>
                <w:b/>
                <w:sz w:val="20"/>
              </w:rPr>
              <w:t>Körperliche Belastung</w:t>
            </w:r>
          </w:p>
        </w:tc>
      </w:tr>
      <w:tr>
        <w:tc>
          <w:tcPr>
            <w:tcW w:type="dxa" w:w="2268"/>
          </w:tcPr>
          <w:p>
            <w:r>
              <w:rPr>
                <w:rFonts w:ascii="Times New Roman" w:hAnsi="Times New Roman"/>
                <w:sz w:val="20"/>
              </w:rPr>
              <w:t>1</w:t>
            </w:r>
          </w:p>
        </w:tc>
        <w:tc>
          <w:tcPr>
            <w:tcW w:type="dxa" w:w="2268"/>
          </w:tcPr>
          <w:p>
            <w:r>
              <w:rPr>
                <w:rFonts w:ascii="Times New Roman" w:hAnsi="Times New Roman"/>
                <w:sz w:val="20"/>
              </w:rPr>
              <w:t>Grundpflege (Waschen, Ankleiden, Lagerung)</w:t>
            </w:r>
          </w:p>
        </w:tc>
        <w:tc>
          <w:tcPr>
            <w:tcW w:type="dxa" w:w="2268"/>
          </w:tcPr>
          <w:p>
            <w:r>
              <w:rPr>
                <w:rFonts w:ascii="Times New Roman" w:hAnsi="Times New Roman"/>
                <w:sz w:val="20"/>
              </w:rPr>
              <w:t>35 %</w:t>
            </w:r>
          </w:p>
        </w:tc>
        <w:tc>
          <w:tcPr>
            <w:tcW w:type="dxa" w:w="2268"/>
          </w:tcPr>
          <w:p>
            <w:r>
              <w:rPr>
                <w:rFonts w:ascii="Times New Roman" w:hAnsi="Times New Roman"/>
                <w:sz w:val="20"/>
              </w:rPr>
              <w:t>sehr hoch (Heben bis 80 kg)</w:t>
            </w:r>
          </w:p>
        </w:tc>
      </w:tr>
      <w:tr>
        <w:tc>
          <w:tcPr>
            <w:tcW w:type="dxa" w:w="2268"/>
          </w:tcPr>
          <w:p>
            <w:r>
              <w:rPr>
                <w:rFonts w:ascii="Times New Roman" w:hAnsi="Times New Roman"/>
                <w:sz w:val="20"/>
              </w:rPr>
              <w:t>2</w:t>
            </w:r>
          </w:p>
        </w:tc>
        <w:tc>
          <w:tcPr>
            <w:tcW w:type="dxa" w:w="2268"/>
          </w:tcPr>
          <w:p>
            <w:r>
              <w:rPr>
                <w:rFonts w:ascii="Times New Roman" w:hAnsi="Times New Roman"/>
                <w:sz w:val="20"/>
              </w:rPr>
              <w:t>Behandlungspflege (Medikamente, Verbände, Wundversorgung)</w:t>
            </w:r>
          </w:p>
        </w:tc>
        <w:tc>
          <w:tcPr>
            <w:tcW w:type="dxa" w:w="2268"/>
          </w:tcPr>
          <w:p>
            <w:r>
              <w:rPr>
                <w:rFonts w:ascii="Times New Roman" w:hAnsi="Times New Roman"/>
                <w:sz w:val="20"/>
              </w:rPr>
              <w:t>20 %</w:t>
            </w:r>
          </w:p>
        </w:tc>
        <w:tc>
          <w:tcPr>
            <w:tcW w:type="dxa" w:w="2268"/>
          </w:tcPr>
          <w:p>
            <w:r>
              <w:rPr>
                <w:rFonts w:ascii="Times New Roman" w:hAnsi="Times New Roman"/>
                <w:sz w:val="20"/>
              </w:rPr>
              <w:t>mittel (Stehen, Desinfektionsmittel)</w:t>
            </w:r>
          </w:p>
        </w:tc>
      </w:tr>
      <w:tr>
        <w:tc>
          <w:tcPr>
            <w:tcW w:type="dxa" w:w="2268"/>
          </w:tcPr>
          <w:p>
            <w:r>
              <w:rPr>
                <w:rFonts w:ascii="Times New Roman" w:hAnsi="Times New Roman"/>
                <w:sz w:val="20"/>
              </w:rPr>
              <w:t>3</w:t>
            </w:r>
          </w:p>
        </w:tc>
        <w:tc>
          <w:tcPr>
            <w:tcW w:type="dxa" w:w="2268"/>
          </w:tcPr>
          <w:p>
            <w:r>
              <w:rPr>
                <w:rFonts w:ascii="Times New Roman" w:hAnsi="Times New Roman"/>
                <w:sz w:val="20"/>
              </w:rPr>
              <w:t>Pflegedokumentation / Planungsgespräche</w:t>
            </w:r>
          </w:p>
        </w:tc>
        <w:tc>
          <w:tcPr>
            <w:tcW w:type="dxa" w:w="2268"/>
          </w:tcPr>
          <w:p>
            <w:r>
              <w:rPr>
                <w:rFonts w:ascii="Times New Roman" w:hAnsi="Times New Roman"/>
                <w:sz w:val="20"/>
              </w:rPr>
              <w:t>15 %</w:t>
            </w:r>
          </w:p>
        </w:tc>
        <w:tc>
          <w:tcPr>
            <w:tcW w:type="dxa" w:w="2268"/>
          </w:tcPr>
          <w:p>
            <w:r>
              <w:rPr>
                <w:rFonts w:ascii="Times New Roman" w:hAnsi="Times New Roman"/>
                <w:sz w:val="20"/>
              </w:rPr>
              <w:t>gering (sitzend)</w:t>
            </w:r>
          </w:p>
        </w:tc>
      </w:tr>
      <w:tr>
        <w:tc>
          <w:tcPr>
            <w:tcW w:type="dxa" w:w="2268"/>
          </w:tcPr>
          <w:p>
            <w:r>
              <w:rPr>
                <w:rFonts w:ascii="Times New Roman" w:hAnsi="Times New Roman"/>
                <w:sz w:val="20"/>
              </w:rPr>
              <w:t>4</w:t>
            </w:r>
          </w:p>
        </w:tc>
        <w:tc>
          <w:tcPr>
            <w:tcW w:type="dxa" w:w="2268"/>
          </w:tcPr>
          <w:p>
            <w:r>
              <w:rPr>
                <w:rFonts w:ascii="Times New Roman" w:hAnsi="Times New Roman"/>
                <w:sz w:val="20"/>
              </w:rPr>
              <w:t>Praxisanleitung von Auszubildenden</w:t>
            </w:r>
          </w:p>
        </w:tc>
        <w:tc>
          <w:tcPr>
            <w:tcW w:type="dxa" w:w="2268"/>
          </w:tcPr>
          <w:p>
            <w:r>
              <w:rPr>
                <w:rFonts w:ascii="Times New Roman" w:hAnsi="Times New Roman"/>
                <w:sz w:val="20"/>
              </w:rPr>
              <w:t>10 %</w:t>
            </w:r>
          </w:p>
        </w:tc>
        <w:tc>
          <w:tcPr>
            <w:tcW w:type="dxa" w:w="2268"/>
          </w:tcPr>
          <w:p>
            <w:r>
              <w:rPr>
                <w:rFonts w:ascii="Times New Roman" w:hAnsi="Times New Roman"/>
                <w:sz w:val="20"/>
              </w:rPr>
              <w:t>mittel (Demonstration körperlicher Techniken)</w:t>
            </w:r>
          </w:p>
        </w:tc>
      </w:tr>
      <w:tr>
        <w:tc>
          <w:tcPr>
            <w:tcW w:type="dxa" w:w="2268"/>
          </w:tcPr>
          <w:p>
            <w:r>
              <w:rPr>
                <w:rFonts w:ascii="Times New Roman" w:hAnsi="Times New Roman"/>
                <w:sz w:val="20"/>
              </w:rPr>
              <w:t>5</w:t>
            </w:r>
          </w:p>
        </w:tc>
        <w:tc>
          <w:tcPr>
            <w:tcW w:type="dxa" w:w="2268"/>
          </w:tcPr>
          <w:p>
            <w:r>
              <w:rPr>
                <w:rFonts w:ascii="Times New Roman" w:hAnsi="Times New Roman"/>
                <w:sz w:val="20"/>
              </w:rPr>
              <w:t>Mahlzeiten / Nahrungsaufnahme-Assistenz</w:t>
            </w:r>
          </w:p>
        </w:tc>
        <w:tc>
          <w:tcPr>
            <w:tcW w:type="dxa" w:w="2268"/>
          </w:tcPr>
          <w:p>
            <w:r>
              <w:rPr>
                <w:rFonts w:ascii="Times New Roman" w:hAnsi="Times New Roman"/>
                <w:sz w:val="20"/>
              </w:rPr>
              <w:t>10 %</w:t>
            </w:r>
          </w:p>
        </w:tc>
        <w:tc>
          <w:tcPr>
            <w:tcW w:type="dxa" w:w="2268"/>
          </w:tcPr>
          <w:p>
            <w:r>
              <w:rPr>
                <w:rFonts w:ascii="Times New Roman" w:hAnsi="Times New Roman"/>
                <w:sz w:val="20"/>
              </w:rPr>
              <w:t>mittel (stehend, helfend)</w:t>
            </w:r>
          </w:p>
        </w:tc>
      </w:tr>
      <w:tr>
        <w:tc>
          <w:tcPr>
            <w:tcW w:type="dxa" w:w="2268"/>
          </w:tcPr>
          <w:p>
            <w:r>
              <w:rPr>
                <w:rFonts w:ascii="Times New Roman" w:hAnsi="Times New Roman"/>
                <w:sz w:val="20"/>
              </w:rPr>
              <w:t>6</w:t>
            </w:r>
          </w:p>
        </w:tc>
        <w:tc>
          <w:tcPr>
            <w:tcW w:type="dxa" w:w="2268"/>
          </w:tcPr>
          <w:p>
            <w:r>
              <w:rPr>
                <w:rFonts w:ascii="Times New Roman" w:hAnsi="Times New Roman"/>
                <w:sz w:val="20"/>
              </w:rPr>
              <w:t>Wohnbereichsleitung / Teamleitung</w:t>
            </w:r>
          </w:p>
        </w:tc>
        <w:tc>
          <w:tcPr>
            <w:tcW w:type="dxa" w:w="2268"/>
          </w:tcPr>
          <w:p>
            <w:r>
              <w:rPr>
                <w:rFonts w:ascii="Times New Roman" w:hAnsi="Times New Roman"/>
                <w:sz w:val="20"/>
              </w:rPr>
              <w:t>10 %</w:t>
            </w:r>
          </w:p>
        </w:tc>
        <w:tc>
          <w:tcPr>
            <w:tcW w:type="dxa" w:w="2268"/>
          </w:tcPr>
          <w:p>
            <w:r>
              <w:rPr>
                <w:rFonts w:ascii="Times New Roman" w:hAnsi="Times New Roman"/>
                <w:sz w:val="20"/>
              </w:rPr>
              <w:t>gering</w:t>
            </w:r>
          </w:p>
        </w:tc>
      </w:tr>
    </w:tbl>
    <w:p>
      <w:pPr>
        <w:jc w:val="left"/>
      </w:pPr>
      <w:r>
        <w:rPr>
          <w:b/>
        </w:rPr>
        <w:t>Körperlich-schwere Tätigkeiten</w:t>
      </w:r>
      <w:r>
        <w:t xml:space="preserve"> (Nr. 1, 2, 4, 5) = </w:t>
      </w:r>
      <w:r>
        <w:rPr>
          <w:b/>
        </w:rPr>
        <w:t>75 % des Tätigkeitsprofils</w:t>
      </w:r>
    </w:p>
    <w:p/>
    <w:p>
      <w:pPr>
        <w:pStyle w:val="Heading2"/>
      </w:pPr>
      <w:r>
        <w:rPr>
          <w:rFonts w:ascii="Times New Roman" w:hAnsi="Times New Roman"/>
        </w:rPr>
        <w:t>III. Analyse der gesundheitlichen Einschränkungen im Kontext des Berufsbilds</w:t>
      </w:r>
    </w:p>
    <w:p>
      <w:pPr>
        <w:pStyle w:val="Heading3"/>
      </w:pPr>
      <w:r>
        <w:rPr>
          <w:rFonts w:ascii="Times New Roman" w:hAnsi="Times New Roman"/>
        </w:rPr>
        <w:t>Heben und Lagern (35 % Grundpflege)</w:t>
      </w:r>
    </w:p>
    <w:p>
      <w:pPr>
        <w:jc w:val="left"/>
      </w:pPr>
      <w:r>
        <w:t>Frau Vogelweide kann aufgrund des HWS-Syndroms (postoperative Kraftminderung linke Hand, Griffstärke 60 %) und des LWS-Syndroms (Protrusion L4/L5, Extrusion L5/S1) keine Patienten mehr heben oder betten. Gemäß Ergonomienorm DIN EN ISO 11228-1 liegt die Grenze für einhändige Hebebelastung bei 10 kg ohne Einschränkungen — Frau Vogelweide erreicht mit der linken Hand weniger als 6 kg. Das Umschiffen von Hebevorgängen ist im Vollzeitschichtbetrieb einer Altenpflegeeinrichtung strukturell unmöglich.</w:t>
      </w:r>
    </w:p>
    <w:p>
      <w:pPr>
        <w:pStyle w:val="Heading3"/>
      </w:pPr>
      <w:r>
        <w:rPr>
          <w:rFonts w:ascii="Times New Roman" w:hAnsi="Times New Roman"/>
        </w:rPr>
        <w:t>Behandlungspflege / Desinfektionsmittelkontakt (20 %)</w:t>
      </w:r>
    </w:p>
    <w:p>
      <w:pPr>
        <w:jc w:val="left"/>
      </w:pPr>
      <w:r>
        <w:t>Eine Latexsensibilisierung (IgE-vermittelt, Hevein-Klasse 3) und Glutaraldehyd-Sensibilisierung (Epikutantest ++) machen den Einsatz von Standardschutzhandschuhen (Latex) und gängigen Desinfektionsmitteln unmöglich. Latexfreie Nitrilhandschuhe lösen keine Latexreaktion aus, jedoch ist auch Glutaraldehyd-Vermeidung in der Praxis kaum umsetzbar, da Hochdesinfektionsmittel für Endoskope und Instrumente regulär Glutaraldehyd enthalten. Eine vollständige Substitution scheitert am Versorgungsalltag der Einrichtung.</w:t>
      </w:r>
    </w:p>
    <w:p>
      <w:pPr>
        <w:pStyle w:val="Heading3"/>
      </w:pPr>
      <w:r>
        <w:rPr>
          <w:rFonts w:ascii="Times New Roman" w:hAnsi="Times New Roman"/>
        </w:rPr>
        <w:t>Psychiatrische Einschränkungen (alle Bereiche)</w:t>
      </w:r>
    </w:p>
    <w:p>
      <w:pPr>
        <w:jc w:val="left"/>
      </w:pPr>
      <w:r>
        <w:t>Die mittelgradige Depression (BDI-II Score 29) und die Anpassungsstörung führen zu Konzentrationsstörungen, Vergesslichkeit und erhöhter Reizbarkeit. Im Pflegealltag — insbesondere bei der Medikamentenvergabe und Pflegedokumentation — sind diese Defizite sicherheitsrelevant. Eine Fehlmedikation durch Konzentrationsmangel kann lebensbedrohlich sein.</w:t>
      </w:r>
    </w:p>
    <w:p/>
    <w:p>
      <w:pPr>
        <w:pStyle w:val="Heading2"/>
      </w:pPr>
      <w:r>
        <w:rPr>
          <w:rFonts w:ascii="Times New Roman" w:hAnsi="Times New Roman"/>
        </w:rPr>
        <w:t>IV. Berufsbild-Übertragbarkeit auf Verweisungstätigkeiten</w:t>
      </w:r>
    </w:p>
    <w:p>
      <w:pPr>
        <w:jc w:val="left"/>
      </w:pPr>
      <w:r>
        <w:t>Die im Ablehnungsschreiben genannten Verweisungstätigkeiten werden wie folgt bewertet:</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Pr>
                <w:rFonts w:ascii="Times New Roman" w:hAnsi="Times New Roman"/>
                <w:b/>
                <w:sz w:val="20"/>
              </w:rPr>
              <w:t>Verweisungstätigkeit</w:t>
            </w:r>
          </w:p>
        </w:tc>
        <w:tc>
          <w:tcPr>
            <w:tcW w:type="dxa" w:w="1814"/>
          </w:tcPr>
          <w:p>
            <w:r>
              <w:rPr>
                <w:rFonts w:ascii="Times New Roman" w:hAnsi="Times New Roman"/>
                <w:b/>
                <w:sz w:val="20"/>
              </w:rPr>
              <w:t>Qualifikationsdefizit</w:t>
            </w:r>
          </w:p>
        </w:tc>
        <w:tc>
          <w:tcPr>
            <w:tcW w:type="dxa" w:w="1814"/>
          </w:tcPr>
          <w:p>
            <w:r>
              <w:rPr>
                <w:rFonts w:ascii="Times New Roman" w:hAnsi="Times New Roman"/>
                <w:b/>
                <w:sz w:val="20"/>
              </w:rPr>
              <w:t>Verfügbarkeit</w:t>
            </w:r>
          </w:p>
        </w:tc>
        <w:tc>
          <w:tcPr>
            <w:tcW w:type="dxa" w:w="1814"/>
          </w:tcPr>
          <w:p>
            <w:r>
              <w:rPr>
                <w:rFonts w:ascii="Times New Roman" w:hAnsi="Times New Roman"/>
                <w:b/>
                <w:sz w:val="20"/>
              </w:rPr>
              <w:t>Entlohnung</w:t>
            </w:r>
          </w:p>
        </w:tc>
        <w:tc>
          <w:tcPr>
            <w:tcW w:type="dxa" w:w="1814"/>
          </w:tcPr>
          <w:p>
            <w:r>
              <w:rPr>
                <w:rFonts w:ascii="Times New Roman" w:hAnsi="Times New Roman"/>
                <w:b/>
                <w:sz w:val="20"/>
              </w:rPr>
              <w:t>Bewertung</w:t>
            </w:r>
          </w:p>
        </w:tc>
      </w:tr>
      <w:tr>
        <w:tc>
          <w:tcPr>
            <w:tcW w:type="dxa" w:w="1814"/>
          </w:tcPr>
          <w:p>
            <w:r>
              <w:rPr>
                <w:rFonts w:ascii="Times New Roman" w:hAnsi="Times New Roman"/>
                <w:sz w:val="20"/>
              </w:rPr>
              <w:t>Pflegedokumentation (Büro)</w:t>
            </w:r>
          </w:p>
        </w:tc>
        <w:tc>
          <w:tcPr>
            <w:tcW w:type="dxa" w:w="1814"/>
          </w:tcPr>
          <w:p>
            <w:r>
              <w:rPr>
                <w:rFonts w:ascii="Times New Roman" w:hAnsi="Times New Roman"/>
                <w:sz w:val="20"/>
              </w:rPr>
              <w:t>nein</w:t>
            </w:r>
          </w:p>
        </w:tc>
        <w:tc>
          <w:tcPr>
            <w:tcW w:type="dxa" w:w="1814"/>
          </w:tcPr>
          <w:p>
            <w:r>
              <w:rPr>
                <w:rFonts w:ascii="Times New Roman" w:hAnsi="Times New Roman"/>
                <w:sz w:val="20"/>
              </w:rPr>
              <w:t>selten Vollzeit</w:t>
            </w:r>
          </w:p>
        </w:tc>
        <w:tc>
          <w:tcPr>
            <w:tcW w:type="dxa" w:w="1814"/>
          </w:tcPr>
          <w:p>
            <w:r>
              <w:rPr>
                <w:rFonts w:ascii="Times New Roman" w:hAnsi="Times New Roman"/>
                <w:sz w:val="20"/>
              </w:rPr>
              <w:t>60-70 %</w:t>
            </w:r>
          </w:p>
        </w:tc>
        <w:tc>
          <w:tcPr>
            <w:tcW w:type="dxa" w:w="1814"/>
          </w:tcPr>
          <w:p>
            <w:r>
              <w:rPr>
                <w:rFonts w:ascii="Times New Roman" w:hAnsi="Times New Roman"/>
                <w:sz w:val="20"/>
              </w:rPr>
              <w:t>fraglich</w:t>
            </w:r>
          </w:p>
        </w:tc>
      </w:tr>
      <w:tr>
        <w:tc>
          <w:tcPr>
            <w:tcW w:type="dxa" w:w="1814"/>
          </w:tcPr>
          <w:p>
            <w:r>
              <w:rPr>
                <w:rFonts w:ascii="Times New Roman" w:hAnsi="Times New Roman"/>
                <w:sz w:val="20"/>
              </w:rPr>
              <w:t>Pflegeberatung nach § 7a SGB XI</w:t>
            </w:r>
          </w:p>
        </w:tc>
        <w:tc>
          <w:tcPr>
            <w:tcW w:type="dxa" w:w="1814"/>
          </w:tcPr>
          <w:p>
            <w:r>
              <w:rPr>
                <w:rFonts w:ascii="Times New Roman" w:hAnsi="Times New Roman"/>
                <w:sz w:val="20"/>
              </w:rPr>
              <w:t>Weiterbildung erforderlich</w:t>
            </w:r>
          </w:p>
        </w:tc>
        <w:tc>
          <w:tcPr>
            <w:tcW w:type="dxa" w:w="1814"/>
          </w:tcPr>
          <w:p>
            <w:r>
              <w:rPr>
                <w:rFonts w:ascii="Times New Roman" w:hAnsi="Times New Roman"/>
                <w:sz w:val="20"/>
              </w:rPr>
              <w:t>mittel</w:t>
            </w:r>
          </w:p>
        </w:tc>
        <w:tc>
          <w:tcPr>
            <w:tcW w:type="dxa" w:w="1814"/>
          </w:tcPr>
          <w:p>
            <w:r>
              <w:rPr>
                <w:rFonts w:ascii="Times New Roman" w:hAnsi="Times New Roman"/>
                <w:sz w:val="20"/>
              </w:rPr>
              <w:t>70 %</w:t>
            </w:r>
          </w:p>
        </w:tc>
        <w:tc>
          <w:tcPr>
            <w:tcW w:type="dxa" w:w="1814"/>
          </w:tcPr>
          <w:p>
            <w:r>
              <w:rPr>
                <w:rFonts w:ascii="Times New Roman" w:hAnsi="Times New Roman"/>
                <w:sz w:val="20"/>
              </w:rPr>
              <w:t>unzumutbar</w:t>
            </w:r>
          </w:p>
        </w:tc>
      </w:tr>
      <w:tr>
        <w:tc>
          <w:tcPr>
            <w:tcW w:type="dxa" w:w="1814"/>
          </w:tcPr>
          <w:p>
            <w:r>
              <w:rPr>
                <w:rFonts w:ascii="Times New Roman" w:hAnsi="Times New Roman"/>
                <w:sz w:val="20"/>
              </w:rPr>
              <w:t>Heimverwaltung</w:t>
            </w:r>
          </w:p>
        </w:tc>
        <w:tc>
          <w:tcPr>
            <w:tcW w:type="dxa" w:w="1814"/>
          </w:tcPr>
          <w:p>
            <w:r>
              <w:rPr>
                <w:rFonts w:ascii="Times New Roman" w:hAnsi="Times New Roman"/>
                <w:sz w:val="20"/>
              </w:rPr>
              <w:t>kaufm. Ausbildung erforderlich</w:t>
            </w:r>
          </w:p>
        </w:tc>
        <w:tc>
          <w:tcPr>
            <w:tcW w:type="dxa" w:w="1814"/>
          </w:tcPr>
          <w:p>
            <w:r>
              <w:rPr>
                <w:rFonts w:ascii="Times New Roman" w:hAnsi="Times New Roman"/>
                <w:sz w:val="20"/>
              </w:rPr>
              <w:t>kaum</w:t>
            </w:r>
          </w:p>
        </w:tc>
        <w:tc>
          <w:tcPr>
            <w:tcW w:type="dxa" w:w="1814"/>
          </w:tcPr>
          <w:p>
            <w:r>
              <w:rPr>
                <w:rFonts w:ascii="Times New Roman" w:hAnsi="Times New Roman"/>
                <w:sz w:val="20"/>
              </w:rPr>
              <w:t>65-75 %</w:t>
            </w:r>
          </w:p>
        </w:tc>
        <w:tc>
          <w:tcPr>
            <w:tcW w:type="dxa" w:w="1814"/>
          </w:tcPr>
          <w:p>
            <w:r>
              <w:rPr>
                <w:rFonts w:ascii="Times New Roman" w:hAnsi="Times New Roman"/>
                <w:sz w:val="20"/>
              </w:rPr>
              <w:t>unzumutbar</w:t>
            </w:r>
          </w:p>
        </w:tc>
      </w:tr>
      <w:tr>
        <w:tc>
          <w:tcPr>
            <w:tcW w:type="dxa" w:w="1814"/>
          </w:tcPr>
          <w:p>
            <w:r>
              <w:rPr>
                <w:rFonts w:ascii="Times New Roman" w:hAnsi="Times New Roman"/>
                <w:sz w:val="20"/>
              </w:rPr>
              <w:t>Lehrpflegerin / FH-Lehrbeauftragte</w:t>
            </w:r>
          </w:p>
        </w:tc>
        <w:tc>
          <w:tcPr>
            <w:tcW w:type="dxa" w:w="1814"/>
          </w:tcPr>
          <w:p>
            <w:r>
              <w:rPr>
                <w:rFonts w:ascii="Times New Roman" w:hAnsi="Times New Roman"/>
                <w:sz w:val="20"/>
              </w:rPr>
              <w:t>Hochschulabschluss erforderlich</w:t>
            </w:r>
          </w:p>
        </w:tc>
        <w:tc>
          <w:tcPr>
            <w:tcW w:type="dxa" w:w="1814"/>
          </w:tcPr>
          <w:p>
            <w:r>
              <w:rPr>
                <w:rFonts w:ascii="Times New Roman" w:hAnsi="Times New Roman"/>
                <w:sz w:val="20"/>
              </w:rPr>
              <w:t>minimal</w:t>
            </w:r>
          </w:p>
        </w:tc>
        <w:tc>
          <w:tcPr>
            <w:tcW w:type="dxa" w:w="1814"/>
          </w:tcPr>
          <w:p>
            <w:r>
              <w:rPr>
                <w:rFonts w:ascii="Times New Roman" w:hAnsi="Times New Roman"/>
                <w:sz w:val="20"/>
              </w:rPr>
              <w:t>variabel</w:t>
            </w:r>
          </w:p>
        </w:tc>
        <w:tc>
          <w:tcPr>
            <w:tcW w:type="dxa" w:w="1814"/>
          </w:tcPr>
          <w:p>
            <w:r>
              <w:rPr>
                <w:rFonts w:ascii="Times New Roman" w:hAnsi="Times New Roman"/>
                <w:sz w:val="20"/>
              </w:rPr>
              <w:t>unzumutbar</w:t>
            </w:r>
          </w:p>
        </w:tc>
      </w:tr>
    </w:tbl>
    <w:p>
      <w:pPr>
        <w:jc w:val="left"/>
      </w:pPr>
      <w:r>
        <w:t>Kein Verweisungsberuf entspricht den Anforderungen der Lebensstellungsklausel und ist ohne unzumutbare Umschulung realisierbar.</w:t>
      </w:r>
    </w:p>
    <w:p/>
    <w:p>
      <w:pPr>
        <w:pStyle w:val="Heading2"/>
      </w:pPr>
      <w:r>
        <w:rPr>
          <w:rFonts w:ascii="Times New Roman" w:hAnsi="Times New Roman"/>
        </w:rPr>
        <w:t>V. Schlussfolgerung</w:t>
      </w:r>
    </w:p>
    <w:p>
      <w:pPr>
        <w:jc w:val="left"/>
      </w:pPr>
      <w:r>
        <w:t>Das Berufsbild der examinierten Altenpflegerin ist zu mehr als 50 % durch körperlich belastende, desinfektionsmittelbezogene und psychisch belastende Tätigkeiten geprägt, die Frau Vogelweide aufgrund ihrer Gesundheitsschäden dauerhaft und vollständig ausschließen. Eine zumutbare Verweisungstätigkeit ist nicht vorhanden.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