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15 — Fristen- und Kostenübersicht</w:t>
      </w:r>
    </w:p>
    <w:p>
      <w:pPr>
        <w:jc w:val="left"/>
      </w:pPr>
      <w:r>
        <w:rPr>
          <w:b/>
        </w:rPr>
        <w:t>Kanzlei:</w:t>
      </w:r>
      <w:r>
        <w:t xml:space="preserve"> Müller-Hauck Versicherungsrecht</w:t>
      </w:r>
    </w:p>
    <w:p>
      <w:pPr>
        <w:jc w:val="left"/>
      </w:pPr>
      <w:r>
        <w:rPr>
          <w:b/>
        </w:rPr>
        <w:t>Stand:</w:t>
      </w:r>
      <w:r>
        <w:t xml:space="preserve"> 30.05.2026</w:t>
      </w:r>
    </w:p>
    <w:p/>
    <w:p>
      <w:pPr>
        <w:pStyle w:val="Heading2"/>
      </w:pPr>
      <w:r>
        <w:rPr>
          <w:rFonts w:ascii="Times New Roman" w:hAnsi="Times New Roman"/>
        </w:rPr>
        <w:t>Fristenkalender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Handlung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Klageerwiderung DBV-Winterthur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LG Aachen 5 O 102/26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Erwiderung einreichen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Klageerwiderung ManagerSchutz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LG Köln 26 O 144/26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Erwiderung einreichen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BGW-Entscheidung BK-5101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ca. Oktober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BGW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Prüfung, ggf. Widerspruch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HDI Rückkaufswert-Antwort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Vertragsrecht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ggf. Klage LG Hannover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Privatgutachten Kiesewetter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ca. Juli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LG Aachen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Vorlage als K 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Kostenübersicht (vorläufig)</w:t>
      </w:r>
    </w:p>
    <w:p>
      <w:pPr>
        <w:pStyle w:val="Heading3"/>
      </w:pPr>
      <w:r>
        <w:rPr>
          <w:rFonts w:ascii="Times New Roman" w:hAnsi="Times New Roman"/>
        </w:rPr>
        <w:t>BU-Klage (Streitwert 133.200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Verfahrensgebühr 1,3 (Nr. 3100 VV RVG)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1.932,30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Terminsgebühr 1,2 (Nr. 3104 VV RVG)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1.783,35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Einigungsgebühr (Nr. 1000 VV RVG, ggf.)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1.636,65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Gerichtskosten (GKG) 3-fach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3.582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Sachverständiger (3 Gutachten, geschätzt)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8.000–15.000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Geschätzte Gesamtkosten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20.000–25.000</w:t>
            </w:r>
          </w:p>
        </w:tc>
      </w:tr>
    </w:tbl>
    <w:p>
      <w:pPr>
        <w:jc w:val="left"/>
      </w:pPr>
      <w:r>
        <w:rPr>
          <w:b/>
        </w:rPr>
        <w:t>Deckung:</w:t>
      </w:r>
      <w:r>
        <w:t xml:space="preserve"> ARAG Rechtsschutz VSN 88-10224-2026 (Kostenzusage 22.02.2026)</w:t>
      </w:r>
    </w:p>
    <w:p>
      <w:pPr>
        <w:pStyle w:val="Heading3"/>
      </w:pPr>
      <w:r>
        <w:rPr>
          <w:rFonts w:ascii="Times New Roman" w:hAnsi="Times New Roman"/>
        </w:rPr>
        <w:t>D&amp;O-Deckungsklage (Streitwert 59.000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Verfahrensgebühr 1,3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1.171,30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Terminsgebühr 1,2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1.081,20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2.052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Geschätzte Gesamtkosten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7.000–9.000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Schadensersatzpotenzial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Anspruch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BU-Rente rückständig (Sept 2025 – Mai 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16.650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 Monate × 1.850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BU-Rente laufend (bis Endalter 65, 2039)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296.400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13,4 Jahre × 12 × 1.850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D&amp;O-Deckung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59.000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Einmalig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HDI Rückkaufswert (ggf. Mehrforderung)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5.000–8.000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Stornoabzug strittig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Gesamtpotenzial (nominal)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ca. 375.000–380.000</w:t>
            </w:r>
          </w:p>
        </w:tc>
        <w:tc>
          <w:tcPr>
            <w:tcW w:type="dxa" w:w="3024"/>
          </w:tcPr>
          <w:p/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