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17 — Rechtsprechungsrecherche Versicherungsrecht</w:t>
      </w:r>
    </w:p>
    <w:p>
      <w:pPr>
        <w:jc w:val="left"/>
      </w:pPr>
      <w:r>
        <w:rPr>
          <w:b/>
        </w:rPr>
        <w:t>Erstellt:</w:t>
      </w:r>
      <w:r>
        <w:t xml:space="preserve"> März 2026</w:t>
      </w:r>
    </w:p>
    <w:p>
      <w:pPr>
        <w:jc w:val="left"/>
      </w:pPr>
      <w:r>
        <w:rPr>
          <w:b/>
        </w:rPr>
        <w:t>Rechtsgebiete:</w:t>
      </w:r>
      <w:r>
        <w:t xml:space="preserve"> BU-Versicherung, D&amp;O-Versicherung, Sanktionsrecht, LV-Rückkauf</w:t>
      </w:r>
    </w:p>
    <w:p/>
    <w:p>
      <w:pPr>
        <w:pStyle w:val="Heading2"/>
      </w:pPr>
      <w:r>
        <w:rPr>
          <w:rFonts w:ascii="Times New Roman" w:hAnsi="Times New Roman"/>
        </w:rPr>
        <w:t>I. Berufsunfähigkeitsversicherung</w:t>
      </w:r>
    </w:p>
    <w:p>
      <w:pPr>
        <w:pStyle w:val="Heading3"/>
      </w:pPr>
      <w:r>
        <w:rPr>
          <w:rFonts w:ascii="Times New Roman" w:hAnsi="Times New Roman"/>
        </w:rPr>
        <w:t>BGH IV ZR 99/95 — Dauerhaftigkeit der BU</w:t>
      </w:r>
    </w:p>
    <w:p>
      <w:pPr>
        <w:jc w:val="left"/>
      </w:pPr>
      <w:r>
        <w:t>Urteil des BGH vom 26.02.1997, BGHZ 134, 368. Der BGH hat klargestellt, dass Berufsunfähigkeit bereits dann "voraussichtlich dauernd" ist, wenn nach dem ärztlichen Befund überwiegend wahrscheinlich ist, dass die volle Arbeitsfähigkeit innerhalb von 3 Jahren nicht wiederhergestellt wird. Keine Notwendigkeit einer Unheilbarkeit der Erkrankung.</w:t>
      </w:r>
    </w:p>
    <w:p>
      <w:pPr>
        <w:jc w:val="left"/>
      </w:pPr>
      <w:r>
        <w:rPr>
          <w:b/>
        </w:rPr>
        <w:t>Relevanz:</w:t>
      </w:r>
      <w:r>
        <w:t xml:space="preserve"> Für alle drei Erkrankungsgruppen (orthopädisch, psychiatrisch, dermatologisch) ist diese Prognose positiv für Vogelweide.</w:t>
      </w:r>
    </w:p>
    <w:p>
      <w:pPr>
        <w:pStyle w:val="Heading3"/>
      </w:pPr>
      <w:r>
        <w:rPr>
          <w:rFonts w:ascii="Times New Roman" w:hAnsi="Times New Roman"/>
        </w:rPr>
        <w:t>BGH IV ZR 203/92 — Lebensstellung bei Verweisung</w:t>
      </w:r>
    </w:p>
    <w:p>
      <w:pPr>
        <w:jc w:val="left"/>
      </w:pPr>
      <w:r>
        <w:t>Urteil des BGH vom 22.09.1993, BGHZ 123, 364. Die Verweisung auf eine andere Tätigkeit setzt voraus, dass diese der bisherigen Lebensstellung des Versicherten entspricht. Erheblich schlechtere Vergütung schließt die Zumutbarkeit der Verweisung aus.</w:t>
      </w:r>
    </w:p>
    <w:p>
      <w:pPr>
        <w:pStyle w:val="Heading3"/>
      </w:pPr>
      <w:r>
        <w:rPr>
          <w:rFonts w:ascii="Times New Roman" w:hAnsi="Times New Roman"/>
        </w:rPr>
        <w:t>BGH IV ZR 244/03 — Konkretisierungspflicht bei Verweisung</w:t>
      </w:r>
    </w:p>
    <w:p>
      <w:pPr>
        <w:jc w:val="left"/>
      </w:pPr>
      <w:r>
        <w:t>Urteil des BGH vom 07.02.2007, NJW-RR 2007, 751. Der Versicherer muss konkrete Tätigkeiten benennen und darlegen, dass der Versicherte diese tatsächlich ausüben kann. Pauschale Verweise auf Berufsfelder genügen nicht.</w:t>
      </w:r>
    </w:p>
    <w:p>
      <w:pPr>
        <w:jc w:val="left"/>
      </w:pPr>
      <w:r>
        <w:rPr>
          <w:b/>
        </w:rPr>
        <w:t>Fundstelle:</w:t>
      </w:r>
      <w:r>
        <w:t xml:space="preserve"> openjur.de und dejure.org</w:t>
      </w:r>
    </w:p>
    <w:p>
      <w:pPr>
        <w:pStyle w:val="Heading3"/>
      </w:pPr>
      <w:r>
        <w:rPr>
          <w:rFonts w:ascii="Times New Roman" w:hAnsi="Times New Roman"/>
        </w:rPr>
        <w:t>BGH IV ZR 275/08 — Maßgeblichkeit des konkret ausgeübten Berufs</w:t>
      </w:r>
    </w:p>
    <w:p>
      <w:pPr>
        <w:jc w:val="left"/>
      </w:pPr>
      <w:r>
        <w:t>Urteil des BGH vom 07.07.2010, VersR 2010, 1171. Maßgeblich für die BU-Beurteilung ist der Beruf in seiner konkreten Ausgestaltung — nicht das abstrakte Berufsbild.</w:t>
      </w:r>
    </w:p>
    <w:p>
      <w:pPr>
        <w:pStyle w:val="Heading3"/>
      </w:pPr>
      <w:r>
        <w:rPr>
          <w:rFonts w:ascii="Times New Roman" w:hAnsi="Times New Roman"/>
        </w:rPr>
        <w:t>OLG Köln 20 U 125/19 — Altenpflegerin als Berufsgruppe</w:t>
      </w:r>
    </w:p>
    <w:p>
      <w:pPr>
        <w:jc w:val="left"/>
      </w:pPr>
      <w:r>
        <w:t>Urteil des OLG Köln vom 09.12.2020. Das OLG bestätigte, dass das Berufsbild "Altenpflegerin" durch körperlich schwere Tätigkeit geprägt ist und eine Verweisung auf "beratende" Tätigkeiten im Regelfall unzulässig ist.</w:t>
      </w:r>
    </w:p>
    <w:p>
      <w:pPr>
        <w:jc w:val="left"/>
      </w:pPr>
      <w:r>
        <w:rPr>
          <w:b/>
        </w:rPr>
        <w:t>Fundstelle:</w:t>
      </w:r>
      <w:r>
        <w:t xml:space="preserve"> openjur.de</w:t>
      </w:r>
    </w:p>
    <w:p/>
    <w:p>
      <w:pPr>
        <w:pStyle w:val="Heading2"/>
      </w:pPr>
      <w:r>
        <w:rPr>
          <w:rFonts w:ascii="Times New Roman" w:hAnsi="Times New Roman"/>
        </w:rPr>
        <w:t>II. D&amp;O-Versicherung</w:t>
      </w:r>
    </w:p>
    <w:p>
      <w:pPr>
        <w:pStyle w:val="Heading3"/>
      </w:pPr>
      <w:r>
        <w:rPr>
          <w:rFonts w:ascii="Times New Roman" w:hAnsi="Times New Roman"/>
        </w:rPr>
        <w:t>BGH IV ZR 145/19 — Sanktionsklauseln</w:t>
      </w:r>
    </w:p>
    <w:p>
      <w:pPr>
        <w:jc w:val="left"/>
      </w:pPr>
      <w:r>
        <w:t>Urteil des BGH vom 14.05.2020, VersR 2020, 1085. Der BGH hat für die Auslegung von Sanktionsklauseln in Versicherungsverträgen klargestellt, dass diese eng auszulegen sind und sich nur auf die Versicherungsleistung selbst beziehen dürfen, nicht auf den versicherten Schaden.</w:t>
      </w:r>
    </w:p>
    <w:p>
      <w:pPr>
        <w:jc w:val="left"/>
      </w:pPr>
      <w:r>
        <w:rPr>
          <w:b/>
        </w:rPr>
        <w:t>Relevanz:</w:t>
      </w:r>
      <w:r>
        <w:t xml:space="preserve"> Die OFAC-Klausel der ManagerSchutz AG erfasst nicht die D&amp;O-Deckungsleistung.</w:t>
      </w:r>
    </w:p>
    <w:p>
      <w:pPr>
        <w:pStyle w:val="Heading3"/>
      </w:pPr>
      <w:r>
        <w:rPr>
          <w:rFonts w:ascii="Times New Roman" w:hAnsi="Times New Roman"/>
        </w:rPr>
        <w:t>BGH II ZR 234/07 — Business Judgment Rule GmbH</w:t>
      </w:r>
    </w:p>
    <w:p>
      <w:pPr>
        <w:jc w:val="left"/>
      </w:pPr>
      <w:r>
        <w:t>Urteil des BGH vom 14.07.2008, BGHZ 180, 9 (ARAG-Prinzipien). Die Business Judgment Rule gilt im GmbH-Recht analog zu § 93 AktG. Unternehmerische Entscheidungen in Notlagen sind besonders weitgehend geschützt.</w:t>
      </w:r>
    </w:p>
    <w:p/>
    <w:p>
      <w:pPr>
        <w:pStyle w:val="Heading2"/>
      </w:pPr>
      <w:r>
        <w:rPr>
          <w:rFonts w:ascii="Times New Roman" w:hAnsi="Times New Roman"/>
        </w:rPr>
        <w:t>III. Lebensversicherung Rückkauf</w:t>
      </w:r>
    </w:p>
    <w:p>
      <w:pPr>
        <w:pStyle w:val="Heading3"/>
      </w:pPr>
      <w:r>
        <w:rPr>
          <w:rFonts w:ascii="Times New Roman" w:hAnsi="Times New Roman"/>
        </w:rPr>
        <w:t>BGH IV ZR 199/22 — Rückkaufswert Kapital-LV</w:t>
      </w:r>
    </w:p>
    <w:p>
      <w:pPr>
        <w:jc w:val="left"/>
      </w:pPr>
      <w:r>
        <w:t>Urteil des BGH vom 28.06.2023, NJW 2023, 2897. Stornoabzüge bedürfen einer transparenten Klauselgrundlage in den AVB; pauschale Stornoabzüge ohne Nachweispflicht des tatsächlichen Stornoschadens sind unwirksam.</w:t>
      </w:r>
    </w:p>
    <w:p>
      <w:pPr>
        <w:pStyle w:val="Heading3"/>
      </w:pPr>
      <w:r>
        <w:rPr>
          <w:rFonts w:ascii="Times New Roman" w:hAnsi="Times New Roman"/>
        </w:rPr>
        <w:t>BGH IV ZR 162/03 und IV ZR 201/03 — Mindest-Rückkaufswert</w:t>
      </w:r>
    </w:p>
    <w:p>
      <w:pPr>
        <w:jc w:val="left"/>
      </w:pPr>
      <w:r>
        <w:t>Urteile des BGH vom 12.10.2005, BGHZ 164, 297 und 311. Klauseln in LV-AVB, die den Rückkaufswert in den ersten Jahren auf null oder einen Symbolbetrag reduzieren (durch Zillmerung), sind nach § 307 BGB unwirksam.</w:t>
      </w:r>
    </w:p>
    <w:p>
      <w:pPr>
        <w:jc w:val="left"/>
      </w:pPr>
      <w:r>
        <w:rPr>
          <w:b/>
        </w:rPr>
        <w:t>Fundstelle:</w:t>
      </w:r>
      <w:r>
        <w:t xml:space="preserve"> bundesgerichtshof.de und dejure.org</w:t>
      </w:r>
    </w:p>
    <w:p/>
    <w:p>
      <w:pPr>
        <w:pStyle w:val="Heading2"/>
      </w:pPr>
      <w:r>
        <w:rPr>
          <w:rFonts w:ascii="Times New Roman" w:hAnsi="Times New Roman"/>
        </w:rPr>
        <w:t>IV. Relevante Normen (Übersicht)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Norm</w:t>
            </w:r>
          </w:p>
        </w:tc>
        <w:tc>
          <w:tcPr>
            <w:tcW w:type="dxa" w:w="3024"/>
          </w:tcPr>
          <w:p>
            <w:r>
              <w:rPr>
                <w:rFonts w:ascii="Times New Roman" w:hAnsi="Times New Roman"/>
                <w:b/>
                <w:sz w:val="20"/>
              </w:rPr>
              <w:t>Inhalt</w:t>
            </w:r>
          </w:p>
        </w:tc>
        <w:tc>
          <w:tcPr>
            <w:tcW w:type="dxa" w:w="3024"/>
          </w:tcPr>
          <w:p>
            <w:r>
              <w:rPr>
                <w:rFonts w:ascii="Times New Roman" w:hAnsi="Times New Roman"/>
                <w:b/>
                <w:sz w:val="20"/>
              </w:rPr>
              <w:t>Relevanz</w:t>
            </w:r>
          </w:p>
        </w:tc>
      </w:tr>
      <w:tr>
        <w:tc>
          <w:tcPr>
            <w:tcW w:type="dxa" w:w="3024"/>
          </w:tcPr>
          <w:p>
            <w:r>
              <w:rPr>
                <w:rFonts w:ascii="Times New Roman" w:hAnsi="Times New Roman"/>
                <w:sz w:val="20"/>
              </w:rPr>
              <w:t>§ 172 VVG</w:t>
            </w:r>
          </w:p>
        </w:tc>
        <w:tc>
          <w:tcPr>
            <w:tcW w:type="dxa" w:w="3024"/>
          </w:tcPr>
          <w:p>
            <w:r>
              <w:rPr>
                <w:rFonts w:ascii="Times New Roman" w:hAnsi="Times New Roman"/>
                <w:sz w:val="20"/>
              </w:rPr>
              <w:t>BU-Definition, Mindeststandard</w:t>
            </w:r>
          </w:p>
        </w:tc>
        <w:tc>
          <w:tcPr>
            <w:tcW w:type="dxa" w:w="3024"/>
          </w:tcPr>
          <w:p>
            <w:r>
              <w:rPr>
                <w:rFonts w:ascii="Times New Roman" w:hAnsi="Times New Roman"/>
                <w:sz w:val="20"/>
              </w:rPr>
              <w:t>BU-Klage</w:t>
            </w:r>
          </w:p>
        </w:tc>
      </w:tr>
      <w:tr>
        <w:tc>
          <w:tcPr>
            <w:tcW w:type="dxa" w:w="3024"/>
          </w:tcPr>
          <w:p>
            <w:r>
              <w:rPr>
                <w:rFonts w:ascii="Times New Roman" w:hAnsi="Times New Roman"/>
                <w:sz w:val="20"/>
              </w:rPr>
              <w:t>§ 153 VVG</w:t>
            </w:r>
          </w:p>
        </w:tc>
        <w:tc>
          <w:tcPr>
            <w:tcW w:type="dxa" w:w="3024"/>
          </w:tcPr>
          <w:p>
            <w:r>
              <w:rPr>
                <w:rFonts w:ascii="Times New Roman" w:hAnsi="Times New Roman"/>
                <w:sz w:val="20"/>
              </w:rPr>
              <w:t>Überschussbeteiligung LV</w:t>
            </w:r>
          </w:p>
        </w:tc>
        <w:tc>
          <w:tcPr>
            <w:tcW w:type="dxa" w:w="3024"/>
          </w:tcPr>
          <w:p>
            <w:r>
              <w:rPr>
                <w:rFonts w:ascii="Times New Roman" w:hAnsi="Times New Roman"/>
                <w:sz w:val="20"/>
              </w:rPr>
              <w:t>HDI Rückkauf</w:t>
            </w:r>
          </w:p>
        </w:tc>
      </w:tr>
      <w:tr>
        <w:tc>
          <w:tcPr>
            <w:tcW w:type="dxa" w:w="3024"/>
          </w:tcPr>
          <w:p>
            <w:r>
              <w:rPr>
                <w:rFonts w:ascii="Times New Roman" w:hAnsi="Times New Roman"/>
                <w:sz w:val="20"/>
              </w:rPr>
              <w:t>§ 307 BGB</w:t>
            </w:r>
          </w:p>
        </w:tc>
        <w:tc>
          <w:tcPr>
            <w:tcW w:type="dxa" w:w="3024"/>
          </w:tcPr>
          <w:p>
            <w:r>
              <w:rPr>
                <w:rFonts w:ascii="Times New Roman" w:hAnsi="Times New Roman"/>
                <w:sz w:val="20"/>
              </w:rPr>
              <w:t>AGB-Inhaltskontrolle</w:t>
            </w:r>
          </w:p>
        </w:tc>
        <w:tc>
          <w:tcPr>
            <w:tcW w:type="dxa" w:w="3024"/>
          </w:tcPr>
          <w:p>
            <w:r>
              <w:rPr>
                <w:rFonts w:ascii="Times New Roman" w:hAnsi="Times New Roman"/>
                <w:sz w:val="20"/>
              </w:rPr>
              <w:t>AVB-Prüfung</w:t>
            </w:r>
          </w:p>
        </w:tc>
      </w:tr>
      <w:tr>
        <w:tc>
          <w:tcPr>
            <w:tcW w:type="dxa" w:w="3024"/>
          </w:tcPr>
          <w:p>
            <w:r>
              <w:rPr>
                <w:rFonts w:ascii="Times New Roman" w:hAnsi="Times New Roman"/>
                <w:sz w:val="20"/>
              </w:rPr>
              <w:t>§ 43 GmbHG</w:t>
            </w:r>
          </w:p>
        </w:tc>
        <w:tc>
          <w:tcPr>
            <w:tcW w:type="dxa" w:w="3024"/>
          </w:tcPr>
          <w:p>
            <w:r>
              <w:rPr>
                <w:rFonts w:ascii="Times New Roman" w:hAnsi="Times New Roman"/>
                <w:sz w:val="20"/>
              </w:rPr>
              <w:t>Haftung des Geschäftsführers</w:t>
            </w:r>
          </w:p>
        </w:tc>
        <w:tc>
          <w:tcPr>
            <w:tcW w:type="dxa" w:w="3024"/>
          </w:tcPr>
          <w:p>
            <w:r>
              <w:rPr>
                <w:rFonts w:ascii="Times New Roman" w:hAnsi="Times New Roman"/>
                <w:sz w:val="20"/>
              </w:rPr>
              <w:t>D&amp;O-Abwehr</w:t>
            </w:r>
          </w:p>
        </w:tc>
      </w:tr>
      <w:tr>
        <w:tc>
          <w:tcPr>
            <w:tcW w:type="dxa" w:w="3024"/>
          </w:tcPr>
          <w:p>
            <w:r>
              <w:rPr>
                <w:rFonts w:ascii="Times New Roman" w:hAnsi="Times New Roman"/>
                <w:sz w:val="20"/>
              </w:rPr>
              <w:t>§ 34 StGB</w:t>
            </w:r>
          </w:p>
        </w:tc>
        <w:tc>
          <w:tcPr>
            <w:tcW w:type="dxa" w:w="3024"/>
          </w:tcPr>
          <w:p>
            <w:r>
              <w:rPr>
                <w:rFonts w:ascii="Times New Roman" w:hAnsi="Times New Roman"/>
                <w:sz w:val="20"/>
              </w:rPr>
              <w:t>Rechtfertigender Notstand</w:t>
            </w:r>
          </w:p>
        </w:tc>
        <w:tc>
          <w:tcPr>
            <w:tcW w:type="dxa" w:w="3024"/>
          </w:tcPr>
          <w:p>
            <w:r>
              <w:rPr>
                <w:rFonts w:ascii="Times New Roman" w:hAnsi="Times New Roman"/>
                <w:sz w:val="20"/>
              </w:rPr>
              <w:t>Ransomware</w:t>
            </w:r>
          </w:p>
        </w:tc>
      </w:tr>
      <w:tr>
        <w:tc>
          <w:tcPr>
            <w:tcW w:type="dxa" w:w="3024"/>
          </w:tcPr>
          <w:p>
            <w:r>
              <w:rPr>
                <w:rFonts w:ascii="Times New Roman" w:hAnsi="Times New Roman"/>
                <w:sz w:val="20"/>
              </w:rPr>
              <w:t>Art. 83 DSGVO</w:t>
            </w:r>
          </w:p>
        </w:tc>
        <w:tc>
          <w:tcPr>
            <w:tcW w:type="dxa" w:w="3024"/>
          </w:tcPr>
          <w:p>
            <w:r>
              <w:rPr>
                <w:rFonts w:ascii="Times New Roman" w:hAnsi="Times New Roman"/>
                <w:sz w:val="20"/>
              </w:rPr>
              <w:t>Bußgeld bei Datenpanne</w:t>
            </w:r>
          </w:p>
        </w:tc>
        <w:tc>
          <w:tcPr>
            <w:tcW w:type="dxa" w:w="3024"/>
          </w:tcPr>
          <w:p>
            <w:r>
              <w:rPr>
                <w:rFonts w:ascii="Times New Roman" w:hAnsi="Times New Roman"/>
                <w:sz w:val="20"/>
              </w:rPr>
              <w:t>Gegenargument</w:t>
            </w:r>
          </w:p>
        </w:tc>
      </w:tr>
      <w:tr>
        <w:tc>
          <w:tcPr>
            <w:tcW w:type="dxa" w:w="3024"/>
          </w:tcPr>
          <w:p>
            <w:r>
              <w:rPr>
                <w:rFonts w:ascii="Times New Roman" w:hAnsi="Times New Roman"/>
                <w:sz w:val="20"/>
              </w:rPr>
              <w:t>§ 204 BGB</w:t>
            </w:r>
          </w:p>
        </w:tc>
        <w:tc>
          <w:tcPr>
            <w:tcW w:type="dxa" w:w="3024"/>
          </w:tcPr>
          <w:p>
            <w:r>
              <w:rPr>
                <w:rFonts w:ascii="Times New Roman" w:hAnsi="Times New Roman"/>
                <w:sz w:val="20"/>
              </w:rPr>
              <w:t>Hemmung Verjährung</w:t>
            </w:r>
          </w:p>
        </w:tc>
        <w:tc>
          <w:tcPr>
            <w:tcW w:type="dxa" w:w="3024"/>
          </w:tcPr>
          <w:p>
            <w:r>
              <w:rPr>
                <w:rFonts w:ascii="Times New Roman" w:hAnsi="Times New Roman"/>
                <w:sz w:val="20"/>
              </w:rPr>
              <w:t>Ombudsmann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